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2935" w14:textId="52513CA4" w:rsidR="00D92344" w:rsidRPr="00EC01F6" w:rsidRDefault="00EC01F6" w:rsidP="00EC01F6">
      <w:pPr>
        <w:rPr>
          <w:rFonts w:ascii="Times New Roman" w:hAnsi="Times New Roman" w:cs="Times New Roman"/>
          <w:b/>
          <w:sz w:val="24"/>
          <w:szCs w:val="24"/>
        </w:rPr>
      </w:pPr>
      <w:r w:rsidRPr="00EC01F6">
        <w:rPr>
          <w:rFonts w:ascii="Times New Roman" w:hAnsi="Times New Roman" w:cs="Times New Roman"/>
          <w:b/>
          <w:noProof/>
          <w:sz w:val="24"/>
          <w:szCs w:val="24"/>
        </w:rPr>
        <w:drawing>
          <wp:anchor distT="0" distB="0" distL="114300" distR="114300" simplePos="0" relativeHeight="251659264" behindDoc="1" locked="0" layoutInCell="1" allowOverlap="1" wp14:anchorId="11904BC7" wp14:editId="24E4F5CF">
            <wp:simplePos x="0" y="0"/>
            <wp:positionH relativeFrom="column">
              <wp:posOffset>4686300</wp:posOffset>
            </wp:positionH>
            <wp:positionV relativeFrom="paragraph">
              <wp:posOffset>-666750</wp:posOffset>
            </wp:positionV>
            <wp:extent cx="17811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344" w:rsidRPr="00EC01F6">
        <w:rPr>
          <w:rFonts w:ascii="Times New Roman" w:hAnsi="Times New Roman" w:cs="Times New Roman"/>
          <w:b/>
          <w:sz w:val="24"/>
          <w:szCs w:val="24"/>
        </w:rPr>
        <w:t>Belastingheffing van personenvennootschappen</w:t>
      </w:r>
    </w:p>
    <w:p w14:paraId="77E9D4A8" w14:textId="77777777" w:rsidR="00A84318" w:rsidRPr="00EC01F6" w:rsidRDefault="00A84318" w:rsidP="00EC01F6">
      <w:pPr>
        <w:rPr>
          <w:rFonts w:ascii="Times New Roman" w:hAnsi="Times New Roman" w:cs="Times New Roman"/>
          <w:i/>
          <w:sz w:val="24"/>
          <w:szCs w:val="24"/>
        </w:rPr>
      </w:pPr>
      <w:r w:rsidRPr="00EC01F6">
        <w:rPr>
          <w:rFonts w:ascii="Times New Roman" w:hAnsi="Times New Roman" w:cs="Times New Roman"/>
          <w:i/>
          <w:sz w:val="24"/>
          <w:szCs w:val="24"/>
        </w:rPr>
        <w:t>Verslag van de bijeenkomst van de Vereniging voor Belastingwetenschap over het rapport van de Commissie Personenvennootschappen, gehouden op 17 juni 2020 in Den Haag.</w:t>
      </w:r>
    </w:p>
    <w:p w14:paraId="60901B47" w14:textId="77777777" w:rsidR="00D92344" w:rsidRPr="00EC01F6" w:rsidRDefault="00D92344" w:rsidP="00EC01F6">
      <w:pPr>
        <w:rPr>
          <w:rFonts w:ascii="Times New Roman" w:hAnsi="Times New Roman" w:cs="Times New Roman"/>
          <w:sz w:val="24"/>
          <w:szCs w:val="24"/>
        </w:rPr>
      </w:pPr>
      <w:r w:rsidRPr="00EC01F6">
        <w:rPr>
          <w:rFonts w:ascii="Times New Roman" w:hAnsi="Times New Roman" w:cs="Times New Roman"/>
          <w:sz w:val="24"/>
          <w:szCs w:val="24"/>
        </w:rPr>
        <w:t>F</w:t>
      </w:r>
      <w:r w:rsidR="00AC1538" w:rsidRPr="00EC01F6">
        <w:rPr>
          <w:rFonts w:ascii="Times New Roman" w:hAnsi="Times New Roman" w:cs="Times New Roman"/>
          <w:sz w:val="24"/>
          <w:szCs w:val="24"/>
        </w:rPr>
        <w:t>.M.</w:t>
      </w:r>
      <w:r w:rsidRPr="00EC01F6">
        <w:rPr>
          <w:rFonts w:ascii="Times New Roman" w:hAnsi="Times New Roman" w:cs="Times New Roman"/>
          <w:sz w:val="24"/>
          <w:szCs w:val="24"/>
        </w:rPr>
        <w:t xml:space="preserve"> Witpeerd</w:t>
      </w:r>
      <w:r w:rsidRPr="00EC01F6">
        <w:rPr>
          <w:rStyle w:val="Voetnootmarkering"/>
          <w:rFonts w:ascii="Times New Roman" w:hAnsi="Times New Roman" w:cs="Times New Roman"/>
          <w:sz w:val="24"/>
          <w:szCs w:val="24"/>
        </w:rPr>
        <w:footnoteReference w:id="1"/>
      </w:r>
    </w:p>
    <w:p w14:paraId="13736284" w14:textId="77777777" w:rsidR="00AB2CF2" w:rsidRPr="00EC01F6" w:rsidRDefault="00AB2CF2" w:rsidP="00EC01F6">
      <w:pPr>
        <w:pStyle w:val="Lijstalinea"/>
        <w:numPr>
          <w:ilvl w:val="0"/>
          <w:numId w:val="1"/>
        </w:numPr>
        <w:rPr>
          <w:rFonts w:ascii="Times New Roman" w:hAnsi="Times New Roman" w:cs="Times New Roman"/>
          <w:i/>
          <w:sz w:val="24"/>
          <w:szCs w:val="24"/>
        </w:rPr>
      </w:pPr>
      <w:r w:rsidRPr="00EC01F6">
        <w:rPr>
          <w:rFonts w:ascii="Times New Roman" w:hAnsi="Times New Roman" w:cs="Times New Roman"/>
          <w:i/>
          <w:sz w:val="24"/>
          <w:szCs w:val="24"/>
        </w:rPr>
        <w:t>Opening en Inleiding wetenschappelijk gedeelte - Essers</w:t>
      </w:r>
      <w:r w:rsidR="00A84318" w:rsidRPr="00EC01F6">
        <w:rPr>
          <w:rStyle w:val="Voetnootmarkering"/>
          <w:rFonts w:ascii="Times New Roman" w:hAnsi="Times New Roman" w:cs="Times New Roman"/>
          <w:i/>
          <w:sz w:val="24"/>
          <w:szCs w:val="24"/>
        </w:rPr>
        <w:footnoteReference w:id="2"/>
      </w:r>
    </w:p>
    <w:p w14:paraId="4C970EC3" w14:textId="1295F2DB" w:rsidR="003C3906" w:rsidRPr="00EC01F6" w:rsidRDefault="003C3906" w:rsidP="00EC01F6">
      <w:pPr>
        <w:rPr>
          <w:rFonts w:ascii="Times New Roman" w:hAnsi="Times New Roman" w:cs="Times New Roman"/>
          <w:sz w:val="24"/>
          <w:szCs w:val="24"/>
        </w:rPr>
      </w:pPr>
      <w:r w:rsidRPr="00EC01F6">
        <w:rPr>
          <w:rFonts w:ascii="Times New Roman" w:hAnsi="Times New Roman" w:cs="Times New Roman"/>
          <w:sz w:val="24"/>
          <w:szCs w:val="24"/>
        </w:rPr>
        <w:t xml:space="preserve">De voorzitter Essers opent de bijeenkomst en merkt op dat </w:t>
      </w:r>
      <w:r w:rsidR="00FE66B0" w:rsidRPr="00EC01F6">
        <w:rPr>
          <w:rFonts w:ascii="Times New Roman" w:hAnsi="Times New Roman" w:cs="Times New Roman"/>
          <w:sz w:val="24"/>
          <w:szCs w:val="24"/>
        </w:rPr>
        <w:t xml:space="preserve">de Vereniging </w:t>
      </w:r>
      <w:r w:rsidRPr="00EC01F6">
        <w:rPr>
          <w:rFonts w:ascii="Times New Roman" w:hAnsi="Times New Roman" w:cs="Times New Roman"/>
          <w:sz w:val="24"/>
          <w:szCs w:val="24"/>
        </w:rPr>
        <w:t xml:space="preserve">in </w:t>
      </w:r>
      <w:r w:rsidR="00FE66B0" w:rsidRPr="00EC01F6">
        <w:rPr>
          <w:rFonts w:ascii="Times New Roman" w:hAnsi="Times New Roman" w:cs="Times New Roman"/>
          <w:sz w:val="24"/>
          <w:szCs w:val="24"/>
        </w:rPr>
        <w:t>haar</w:t>
      </w:r>
      <w:r w:rsidRPr="00EC01F6">
        <w:rPr>
          <w:rFonts w:ascii="Times New Roman" w:hAnsi="Times New Roman" w:cs="Times New Roman"/>
          <w:sz w:val="24"/>
          <w:szCs w:val="24"/>
        </w:rPr>
        <w:t xml:space="preserve"> 95-jarige historie nooit eerder een bijeenkomst </w:t>
      </w:r>
      <w:r w:rsidR="00FE66B0" w:rsidRPr="00EC01F6">
        <w:rPr>
          <w:rFonts w:ascii="Times New Roman" w:hAnsi="Times New Roman" w:cs="Times New Roman"/>
          <w:sz w:val="24"/>
          <w:szCs w:val="24"/>
        </w:rPr>
        <w:t xml:space="preserve">als deze heeft </w:t>
      </w:r>
      <w:r w:rsidRPr="00EC01F6">
        <w:rPr>
          <w:rFonts w:ascii="Times New Roman" w:hAnsi="Times New Roman" w:cs="Times New Roman"/>
          <w:sz w:val="24"/>
          <w:szCs w:val="24"/>
        </w:rPr>
        <w:t>gehad</w:t>
      </w:r>
      <w:r w:rsidR="00FE66B0" w:rsidRPr="00EC01F6">
        <w:rPr>
          <w:rFonts w:ascii="Times New Roman" w:hAnsi="Times New Roman" w:cs="Times New Roman"/>
          <w:sz w:val="24"/>
          <w:szCs w:val="24"/>
        </w:rPr>
        <w:t>.</w:t>
      </w:r>
      <w:r w:rsidRPr="00EC01F6">
        <w:rPr>
          <w:rFonts w:ascii="Times New Roman" w:hAnsi="Times New Roman" w:cs="Times New Roman"/>
          <w:sz w:val="24"/>
          <w:szCs w:val="24"/>
        </w:rPr>
        <w:t xml:space="preserve"> </w:t>
      </w:r>
      <w:r w:rsidR="00FE66B0" w:rsidRPr="00EC01F6">
        <w:rPr>
          <w:rFonts w:ascii="Times New Roman" w:hAnsi="Times New Roman" w:cs="Times New Roman"/>
          <w:sz w:val="24"/>
          <w:szCs w:val="24"/>
        </w:rPr>
        <w:t>D</w:t>
      </w:r>
      <w:r w:rsidRPr="00EC01F6">
        <w:rPr>
          <w:rFonts w:ascii="Times New Roman" w:hAnsi="Times New Roman" w:cs="Times New Roman"/>
          <w:sz w:val="24"/>
          <w:szCs w:val="24"/>
        </w:rPr>
        <w:t xml:space="preserve">e </w:t>
      </w:r>
      <w:r w:rsidR="00027BA8" w:rsidRPr="00EC01F6">
        <w:rPr>
          <w:rFonts w:ascii="Times New Roman" w:hAnsi="Times New Roman" w:cs="Times New Roman"/>
          <w:sz w:val="24"/>
          <w:szCs w:val="24"/>
        </w:rPr>
        <w:t>aanwezigen in Den Haag zitten</w:t>
      </w:r>
      <w:r w:rsidRPr="00EC01F6">
        <w:rPr>
          <w:rFonts w:ascii="Times New Roman" w:hAnsi="Times New Roman" w:cs="Times New Roman"/>
          <w:sz w:val="24"/>
          <w:szCs w:val="24"/>
        </w:rPr>
        <w:t xml:space="preserve"> anderhalve meter uit elkaar </w:t>
      </w:r>
      <w:r w:rsidR="00027BA8" w:rsidRPr="00EC01F6">
        <w:rPr>
          <w:rFonts w:ascii="Times New Roman" w:hAnsi="Times New Roman" w:cs="Times New Roman"/>
          <w:sz w:val="24"/>
          <w:szCs w:val="24"/>
        </w:rPr>
        <w:t>en</w:t>
      </w:r>
      <w:r w:rsidRPr="00EC01F6">
        <w:rPr>
          <w:rFonts w:ascii="Times New Roman" w:hAnsi="Times New Roman" w:cs="Times New Roman"/>
          <w:sz w:val="24"/>
          <w:szCs w:val="24"/>
        </w:rPr>
        <w:t xml:space="preserve"> vele deelnemers</w:t>
      </w:r>
      <w:r w:rsidR="00027BA8" w:rsidRPr="00EC01F6">
        <w:rPr>
          <w:rFonts w:ascii="Times New Roman" w:hAnsi="Times New Roman" w:cs="Times New Roman"/>
          <w:sz w:val="24"/>
          <w:szCs w:val="24"/>
        </w:rPr>
        <w:t xml:space="preserve"> zijn</w:t>
      </w:r>
      <w:r w:rsidRPr="00EC01F6">
        <w:rPr>
          <w:rFonts w:ascii="Times New Roman" w:hAnsi="Times New Roman" w:cs="Times New Roman"/>
          <w:sz w:val="24"/>
          <w:szCs w:val="24"/>
        </w:rPr>
        <w:t xml:space="preserve"> aanwezig via het online platform. De voorzitter is blij dat die online-deelnemers op deze manier aanwezig kunnen zijn en heet ze van harte welkom.</w:t>
      </w:r>
    </w:p>
    <w:p w14:paraId="5A1E1A24" w14:textId="37E4E1C6" w:rsidR="003C3906" w:rsidRPr="00EC01F6" w:rsidRDefault="003C3906" w:rsidP="00EC01F6">
      <w:pPr>
        <w:rPr>
          <w:rFonts w:ascii="Times New Roman" w:hAnsi="Times New Roman" w:cs="Times New Roman"/>
          <w:sz w:val="24"/>
          <w:szCs w:val="24"/>
        </w:rPr>
      </w:pPr>
      <w:r w:rsidRPr="00EC01F6">
        <w:rPr>
          <w:rFonts w:ascii="Times New Roman" w:hAnsi="Times New Roman" w:cs="Times New Roman"/>
          <w:sz w:val="24"/>
          <w:szCs w:val="24"/>
        </w:rPr>
        <w:t xml:space="preserve">Tijdens het </w:t>
      </w:r>
      <w:r w:rsidR="00FE66B0" w:rsidRPr="00EC01F6">
        <w:rPr>
          <w:rFonts w:ascii="Times New Roman" w:hAnsi="Times New Roman" w:cs="Times New Roman"/>
          <w:sz w:val="24"/>
          <w:szCs w:val="24"/>
        </w:rPr>
        <w:t>wetenschappelijke</w:t>
      </w:r>
      <w:r w:rsidRPr="00EC01F6">
        <w:rPr>
          <w:rFonts w:ascii="Times New Roman" w:hAnsi="Times New Roman" w:cs="Times New Roman"/>
          <w:sz w:val="24"/>
          <w:szCs w:val="24"/>
        </w:rPr>
        <w:t xml:space="preserve"> gedeelte van </w:t>
      </w:r>
      <w:r w:rsidR="00E07217" w:rsidRPr="00EC01F6">
        <w:rPr>
          <w:rFonts w:ascii="Times New Roman" w:hAnsi="Times New Roman" w:cs="Times New Roman"/>
          <w:sz w:val="24"/>
          <w:szCs w:val="24"/>
        </w:rPr>
        <w:t xml:space="preserve">de </w:t>
      </w:r>
      <w:r w:rsidRPr="00EC01F6">
        <w:rPr>
          <w:rFonts w:ascii="Times New Roman" w:hAnsi="Times New Roman" w:cs="Times New Roman"/>
          <w:sz w:val="24"/>
          <w:szCs w:val="24"/>
        </w:rPr>
        <w:t xml:space="preserve">bijeenkomst </w:t>
      </w:r>
      <w:r w:rsidR="00E07217" w:rsidRPr="00EC01F6">
        <w:rPr>
          <w:rFonts w:ascii="Times New Roman" w:hAnsi="Times New Roman" w:cs="Times New Roman"/>
          <w:sz w:val="24"/>
          <w:szCs w:val="24"/>
        </w:rPr>
        <w:t>wordt</w:t>
      </w:r>
      <w:r w:rsidRPr="00EC01F6">
        <w:rPr>
          <w:rFonts w:ascii="Times New Roman" w:hAnsi="Times New Roman" w:cs="Times New Roman"/>
          <w:sz w:val="24"/>
          <w:szCs w:val="24"/>
        </w:rPr>
        <w:t xml:space="preserve"> het rapport van de Commissie Personenvennootschappen</w:t>
      </w:r>
      <w:r w:rsidR="00027BA8" w:rsidRPr="00EC01F6">
        <w:rPr>
          <w:rStyle w:val="Voetnootmarkering"/>
          <w:rFonts w:ascii="Times New Roman" w:hAnsi="Times New Roman" w:cs="Times New Roman"/>
          <w:sz w:val="24"/>
          <w:szCs w:val="24"/>
        </w:rPr>
        <w:footnoteReference w:id="3"/>
      </w:r>
      <w:r w:rsidRPr="00EC01F6">
        <w:rPr>
          <w:rFonts w:ascii="Times New Roman" w:hAnsi="Times New Roman" w:cs="Times New Roman"/>
          <w:sz w:val="24"/>
          <w:szCs w:val="24"/>
        </w:rPr>
        <w:t xml:space="preserve"> besproken.</w:t>
      </w:r>
      <w:r w:rsidR="00027BA8" w:rsidRPr="00EC01F6">
        <w:rPr>
          <w:rFonts w:ascii="Times New Roman" w:hAnsi="Times New Roman" w:cs="Times New Roman"/>
          <w:sz w:val="24"/>
          <w:szCs w:val="24"/>
        </w:rPr>
        <w:t xml:space="preserve"> De voorzitter leidt dit gedeelte in met de opmerking </w:t>
      </w:r>
      <w:r w:rsidR="006C6BD1" w:rsidRPr="00EC01F6">
        <w:rPr>
          <w:rFonts w:ascii="Times New Roman" w:hAnsi="Times New Roman" w:cs="Times New Roman"/>
          <w:sz w:val="24"/>
          <w:szCs w:val="24"/>
        </w:rPr>
        <w:t xml:space="preserve">dat hij erg blij is dat dit rapport zo voortvarend tot stand is gekomen. De problematiek rond personenvennootschappen bestaat – zowel fiscaal als civiel – al heel erg lang. De civielrechtelijke regeling dateert van 1838 </w:t>
      </w:r>
      <w:r w:rsidR="00E11C7F" w:rsidRPr="00EC01F6">
        <w:rPr>
          <w:rFonts w:ascii="Times New Roman" w:hAnsi="Times New Roman" w:cs="Times New Roman"/>
          <w:sz w:val="24"/>
          <w:szCs w:val="24"/>
        </w:rPr>
        <w:t xml:space="preserve">en </w:t>
      </w:r>
      <w:r w:rsidR="006C6BD1" w:rsidRPr="00EC01F6">
        <w:rPr>
          <w:rFonts w:ascii="Times New Roman" w:hAnsi="Times New Roman" w:cs="Times New Roman"/>
          <w:sz w:val="24"/>
          <w:szCs w:val="24"/>
        </w:rPr>
        <w:t>tot op de dag van vandaag is er nog geen nieuw wetsvoorstel personenvennootschappen.</w:t>
      </w:r>
      <w:r w:rsidR="00E11C7F" w:rsidRPr="00EC01F6">
        <w:rPr>
          <w:rFonts w:ascii="Times New Roman" w:hAnsi="Times New Roman" w:cs="Times New Roman"/>
          <w:sz w:val="24"/>
          <w:szCs w:val="24"/>
        </w:rPr>
        <w:t xml:space="preserve"> In 1972 was er een voorontwerp voor </w:t>
      </w:r>
      <w:r w:rsidR="0003576F" w:rsidRPr="00EC01F6">
        <w:rPr>
          <w:rFonts w:ascii="Times New Roman" w:hAnsi="Times New Roman" w:cs="Times New Roman"/>
          <w:sz w:val="24"/>
          <w:szCs w:val="24"/>
        </w:rPr>
        <w:t>titel 7.13 BW</w:t>
      </w:r>
      <w:r w:rsidR="00E11C7F" w:rsidRPr="00EC01F6">
        <w:rPr>
          <w:rFonts w:ascii="Times New Roman" w:hAnsi="Times New Roman" w:cs="Times New Roman"/>
          <w:sz w:val="24"/>
          <w:szCs w:val="24"/>
        </w:rPr>
        <w:t>, maar dat ontwerp heeft nooit in een wet geresulteerd. In 2002 is er een wetsvoorstel</w:t>
      </w:r>
      <w:r w:rsidR="009846AF" w:rsidRPr="00EC01F6">
        <w:rPr>
          <w:rStyle w:val="Voetnootmarkering"/>
          <w:rFonts w:ascii="Times New Roman" w:hAnsi="Times New Roman" w:cs="Times New Roman"/>
          <w:sz w:val="24"/>
          <w:szCs w:val="24"/>
        </w:rPr>
        <w:footnoteReference w:id="4"/>
      </w:r>
      <w:r w:rsidR="00E11C7F" w:rsidRPr="00EC01F6">
        <w:rPr>
          <w:rFonts w:ascii="Times New Roman" w:hAnsi="Times New Roman" w:cs="Times New Roman"/>
          <w:sz w:val="24"/>
          <w:szCs w:val="24"/>
        </w:rPr>
        <w:t xml:space="preserve"> </w:t>
      </w:r>
      <w:r w:rsidR="009846AF" w:rsidRPr="00EC01F6">
        <w:rPr>
          <w:rFonts w:ascii="Times New Roman" w:hAnsi="Times New Roman" w:cs="Times New Roman"/>
          <w:sz w:val="24"/>
          <w:szCs w:val="24"/>
        </w:rPr>
        <w:t xml:space="preserve">ingediend dat het heeft gehaald tot de Eerste Kamer, maar dat voorstel is op 15 december 2011 ingetrokken. Het voorstel hield onder andere in dat een personenvennootschap kon kiezen voor rechtspersoonlijkheid en die keuzemogelijkheid leidde tot heel veel complicaties. In 2012 werd er een nieuwe werkgroep opgericht die tot een voorstel is gekomen met </w:t>
      </w:r>
      <w:r w:rsidR="00AB2CF2" w:rsidRPr="00EC01F6">
        <w:rPr>
          <w:rFonts w:ascii="Times New Roman" w:hAnsi="Times New Roman" w:cs="Times New Roman"/>
          <w:sz w:val="24"/>
          <w:szCs w:val="24"/>
        </w:rPr>
        <w:t>niet-facultatieve rechtspersoonlijkheid</w:t>
      </w:r>
      <w:r w:rsidR="009846AF" w:rsidRPr="00EC01F6">
        <w:rPr>
          <w:rFonts w:ascii="Times New Roman" w:hAnsi="Times New Roman" w:cs="Times New Roman"/>
          <w:sz w:val="24"/>
          <w:szCs w:val="24"/>
        </w:rPr>
        <w:t>.</w:t>
      </w:r>
      <w:r w:rsidR="009846AF" w:rsidRPr="00EC01F6">
        <w:rPr>
          <w:rStyle w:val="Voetnootmarkering"/>
          <w:rFonts w:ascii="Times New Roman" w:hAnsi="Times New Roman" w:cs="Times New Roman"/>
          <w:sz w:val="24"/>
          <w:szCs w:val="24"/>
        </w:rPr>
        <w:footnoteReference w:id="5"/>
      </w:r>
      <w:r w:rsidR="009846AF" w:rsidRPr="00EC01F6">
        <w:rPr>
          <w:rFonts w:ascii="Times New Roman" w:hAnsi="Times New Roman" w:cs="Times New Roman"/>
          <w:sz w:val="24"/>
          <w:szCs w:val="24"/>
        </w:rPr>
        <w:t xml:space="preserve"> </w:t>
      </w:r>
      <w:r w:rsidR="00AB2CF2" w:rsidRPr="00EC01F6">
        <w:rPr>
          <w:rFonts w:ascii="Times New Roman" w:hAnsi="Times New Roman" w:cs="Times New Roman"/>
          <w:sz w:val="24"/>
          <w:szCs w:val="24"/>
        </w:rPr>
        <w:t>Behalve de fiscale transparantie van personenvennootschappen i</w:t>
      </w:r>
      <w:r w:rsidR="00773426" w:rsidRPr="00EC01F6">
        <w:rPr>
          <w:rFonts w:ascii="Times New Roman" w:hAnsi="Times New Roman" w:cs="Times New Roman"/>
          <w:sz w:val="24"/>
          <w:szCs w:val="24"/>
        </w:rPr>
        <w:t xml:space="preserve">s </w:t>
      </w:r>
      <w:r w:rsidR="005713AD" w:rsidRPr="00EC01F6">
        <w:rPr>
          <w:rFonts w:ascii="Times New Roman" w:hAnsi="Times New Roman" w:cs="Times New Roman"/>
          <w:sz w:val="24"/>
          <w:szCs w:val="24"/>
        </w:rPr>
        <w:t xml:space="preserve">er </w:t>
      </w:r>
      <w:r w:rsidR="00773426" w:rsidRPr="00EC01F6">
        <w:rPr>
          <w:rFonts w:ascii="Times New Roman" w:hAnsi="Times New Roman" w:cs="Times New Roman"/>
          <w:sz w:val="24"/>
          <w:szCs w:val="24"/>
        </w:rPr>
        <w:t xml:space="preserve">in </w:t>
      </w:r>
      <w:r w:rsidR="00AB2CF2" w:rsidRPr="00EC01F6">
        <w:rPr>
          <w:rFonts w:ascii="Times New Roman" w:hAnsi="Times New Roman" w:cs="Times New Roman"/>
          <w:sz w:val="24"/>
          <w:szCs w:val="24"/>
        </w:rPr>
        <w:t>het laatstgenoemde voorstel weinig aandacht voor de overige fiscale knelpunten. Daarom heeft het bestuur van de Vereniging – tot vreugde van de voorzitter – in 2018 ingestemd met de oprichting van de Commissie Personenvennootschappen, waarvan het rapport nu ter bespreking voor ligt.</w:t>
      </w:r>
    </w:p>
    <w:p w14:paraId="4FDDC5F9" w14:textId="77777777" w:rsidR="00AB2CF2" w:rsidRPr="00EC01F6" w:rsidRDefault="00AB2CF2" w:rsidP="00EC01F6">
      <w:pPr>
        <w:pStyle w:val="Lijstalinea"/>
        <w:numPr>
          <w:ilvl w:val="0"/>
          <w:numId w:val="1"/>
        </w:numPr>
        <w:rPr>
          <w:rFonts w:ascii="Times New Roman" w:hAnsi="Times New Roman" w:cs="Times New Roman"/>
          <w:i/>
          <w:sz w:val="24"/>
          <w:szCs w:val="24"/>
        </w:rPr>
      </w:pPr>
      <w:r w:rsidRPr="00EC01F6">
        <w:rPr>
          <w:rFonts w:ascii="Times New Roman" w:hAnsi="Times New Roman" w:cs="Times New Roman"/>
          <w:i/>
          <w:sz w:val="24"/>
          <w:szCs w:val="24"/>
        </w:rPr>
        <w:t xml:space="preserve">Belangrijkste </w:t>
      </w:r>
      <w:r w:rsidR="006A343D" w:rsidRPr="00EC01F6">
        <w:rPr>
          <w:rFonts w:ascii="Times New Roman" w:hAnsi="Times New Roman" w:cs="Times New Roman"/>
          <w:i/>
          <w:sz w:val="24"/>
          <w:szCs w:val="24"/>
        </w:rPr>
        <w:t xml:space="preserve">bevindingen en </w:t>
      </w:r>
      <w:r w:rsidRPr="00EC01F6">
        <w:rPr>
          <w:rFonts w:ascii="Times New Roman" w:hAnsi="Times New Roman" w:cs="Times New Roman"/>
          <w:i/>
          <w:sz w:val="24"/>
          <w:szCs w:val="24"/>
        </w:rPr>
        <w:t xml:space="preserve">aanbevelingen van de commissie per belastingsoort </w:t>
      </w:r>
      <w:r w:rsidR="00AC1538" w:rsidRPr="00EC01F6">
        <w:rPr>
          <w:rFonts w:ascii="Times New Roman" w:hAnsi="Times New Roman" w:cs="Times New Roman"/>
          <w:i/>
          <w:sz w:val="24"/>
          <w:szCs w:val="24"/>
        </w:rPr>
        <w:t>–</w:t>
      </w:r>
      <w:r w:rsidR="009E601F" w:rsidRPr="00EC01F6">
        <w:rPr>
          <w:rFonts w:ascii="Times New Roman" w:hAnsi="Times New Roman" w:cs="Times New Roman"/>
          <w:i/>
          <w:sz w:val="24"/>
          <w:szCs w:val="24"/>
        </w:rPr>
        <w:t xml:space="preserve"> </w:t>
      </w:r>
      <w:r w:rsidR="00AC1538" w:rsidRPr="00EC01F6">
        <w:rPr>
          <w:rFonts w:ascii="Times New Roman" w:hAnsi="Times New Roman" w:cs="Times New Roman"/>
          <w:i/>
          <w:sz w:val="24"/>
          <w:szCs w:val="24"/>
        </w:rPr>
        <w:t>A.J.A.</w:t>
      </w:r>
      <w:r w:rsidRPr="00EC01F6">
        <w:rPr>
          <w:rFonts w:ascii="Times New Roman" w:hAnsi="Times New Roman" w:cs="Times New Roman"/>
          <w:i/>
          <w:sz w:val="24"/>
          <w:szCs w:val="24"/>
        </w:rPr>
        <w:t xml:space="preserve"> Stevens</w:t>
      </w:r>
      <w:r w:rsidR="00322386" w:rsidRPr="00EC01F6">
        <w:rPr>
          <w:rStyle w:val="Voetnootmarkering"/>
          <w:rFonts w:ascii="Times New Roman" w:hAnsi="Times New Roman" w:cs="Times New Roman"/>
          <w:i/>
          <w:sz w:val="24"/>
          <w:szCs w:val="24"/>
        </w:rPr>
        <w:footnoteReference w:id="6"/>
      </w:r>
      <w:r w:rsidR="00322386" w:rsidRPr="00EC01F6">
        <w:rPr>
          <w:rFonts w:ascii="Times New Roman" w:hAnsi="Times New Roman" w:cs="Times New Roman"/>
          <w:i/>
          <w:sz w:val="24"/>
          <w:szCs w:val="24"/>
        </w:rPr>
        <w:t xml:space="preserve"> </w:t>
      </w:r>
      <w:r w:rsidRPr="00EC01F6">
        <w:rPr>
          <w:rFonts w:ascii="Times New Roman" w:hAnsi="Times New Roman" w:cs="Times New Roman"/>
          <w:i/>
          <w:sz w:val="24"/>
          <w:szCs w:val="24"/>
        </w:rPr>
        <w:t xml:space="preserve">(commissievoorzitter) </w:t>
      </w:r>
    </w:p>
    <w:p w14:paraId="0A00B4B5" w14:textId="77777777" w:rsidR="00506DB1" w:rsidRPr="00EC01F6" w:rsidRDefault="00506DB1" w:rsidP="00EC01F6">
      <w:pPr>
        <w:ind w:left="360"/>
        <w:rPr>
          <w:rFonts w:ascii="Times New Roman" w:hAnsi="Times New Roman" w:cs="Times New Roman"/>
          <w:i/>
          <w:sz w:val="24"/>
          <w:szCs w:val="24"/>
        </w:rPr>
      </w:pPr>
      <w:r w:rsidRPr="00EC01F6">
        <w:rPr>
          <w:rFonts w:ascii="Times New Roman" w:hAnsi="Times New Roman" w:cs="Times New Roman"/>
          <w:i/>
          <w:sz w:val="24"/>
          <w:szCs w:val="24"/>
        </w:rPr>
        <w:t>2.1 Algemeen</w:t>
      </w:r>
    </w:p>
    <w:p w14:paraId="58212FA9" w14:textId="1D928524" w:rsidR="00AB2CF2" w:rsidRPr="00EC01F6" w:rsidRDefault="00A82900" w:rsidP="00EC01F6">
      <w:pPr>
        <w:rPr>
          <w:rFonts w:ascii="Times New Roman" w:hAnsi="Times New Roman" w:cs="Times New Roman"/>
          <w:sz w:val="24"/>
          <w:szCs w:val="24"/>
        </w:rPr>
      </w:pPr>
      <w:r w:rsidRPr="00EC01F6">
        <w:rPr>
          <w:rFonts w:ascii="Times New Roman" w:hAnsi="Times New Roman" w:cs="Times New Roman"/>
          <w:sz w:val="24"/>
          <w:szCs w:val="24"/>
        </w:rPr>
        <w:t xml:space="preserve">Voorzitter van de Commissie Personenvennootschappen </w:t>
      </w:r>
      <w:r w:rsidR="00C65911" w:rsidRPr="00EC01F6">
        <w:rPr>
          <w:rFonts w:ascii="Times New Roman" w:hAnsi="Times New Roman" w:cs="Times New Roman"/>
          <w:sz w:val="24"/>
          <w:szCs w:val="24"/>
        </w:rPr>
        <w:t xml:space="preserve">A.J.A. </w:t>
      </w:r>
      <w:r w:rsidRPr="00EC01F6">
        <w:rPr>
          <w:rFonts w:ascii="Times New Roman" w:hAnsi="Times New Roman" w:cs="Times New Roman"/>
          <w:sz w:val="24"/>
          <w:szCs w:val="24"/>
        </w:rPr>
        <w:t xml:space="preserve">Stevens </w:t>
      </w:r>
      <w:r w:rsidR="00205350" w:rsidRPr="00EC01F6">
        <w:rPr>
          <w:rFonts w:ascii="Times New Roman" w:hAnsi="Times New Roman" w:cs="Times New Roman"/>
          <w:sz w:val="24"/>
          <w:szCs w:val="24"/>
        </w:rPr>
        <w:t>bevestigt</w:t>
      </w:r>
      <w:r w:rsidRPr="00EC01F6">
        <w:rPr>
          <w:rFonts w:ascii="Times New Roman" w:hAnsi="Times New Roman" w:cs="Times New Roman"/>
          <w:sz w:val="24"/>
          <w:szCs w:val="24"/>
        </w:rPr>
        <w:t xml:space="preserve"> dat d</w:t>
      </w:r>
      <w:r w:rsidR="006A343D" w:rsidRPr="00EC01F6">
        <w:rPr>
          <w:rFonts w:ascii="Times New Roman" w:hAnsi="Times New Roman" w:cs="Times New Roman"/>
          <w:sz w:val="24"/>
          <w:szCs w:val="24"/>
        </w:rPr>
        <w:t xml:space="preserve">e aanleiding voor het rapport is </w:t>
      </w:r>
      <w:r w:rsidRPr="00EC01F6">
        <w:rPr>
          <w:rFonts w:ascii="Times New Roman" w:hAnsi="Times New Roman" w:cs="Times New Roman"/>
          <w:sz w:val="24"/>
          <w:szCs w:val="24"/>
        </w:rPr>
        <w:t xml:space="preserve">gelegen in </w:t>
      </w:r>
      <w:r w:rsidR="006A343D" w:rsidRPr="00EC01F6">
        <w:rPr>
          <w:rFonts w:ascii="Times New Roman" w:hAnsi="Times New Roman" w:cs="Times New Roman"/>
          <w:sz w:val="24"/>
          <w:szCs w:val="24"/>
        </w:rPr>
        <w:t xml:space="preserve">het nieuwe wetsvoorstel voor </w:t>
      </w:r>
      <w:r w:rsidR="0003576F" w:rsidRPr="00EC01F6">
        <w:rPr>
          <w:rFonts w:ascii="Times New Roman" w:hAnsi="Times New Roman" w:cs="Times New Roman"/>
          <w:sz w:val="24"/>
          <w:szCs w:val="24"/>
        </w:rPr>
        <w:t>titel 7.13 BW</w:t>
      </w:r>
      <w:r w:rsidR="00C65911" w:rsidRPr="00EC01F6">
        <w:rPr>
          <w:rStyle w:val="Voetnootmarkering"/>
          <w:rFonts w:ascii="Times New Roman" w:hAnsi="Times New Roman" w:cs="Times New Roman"/>
          <w:sz w:val="24"/>
          <w:szCs w:val="24"/>
        </w:rPr>
        <w:footnoteReference w:id="7"/>
      </w:r>
      <w:r w:rsidR="006A343D" w:rsidRPr="00EC01F6">
        <w:rPr>
          <w:rFonts w:ascii="Times New Roman" w:hAnsi="Times New Roman" w:cs="Times New Roman"/>
          <w:sz w:val="24"/>
          <w:szCs w:val="24"/>
        </w:rPr>
        <w:t xml:space="preserve">. De </w:t>
      </w:r>
      <w:r w:rsidR="006A343D" w:rsidRPr="00EC01F6">
        <w:rPr>
          <w:rFonts w:ascii="Times New Roman" w:hAnsi="Times New Roman" w:cs="Times New Roman"/>
          <w:sz w:val="24"/>
          <w:szCs w:val="24"/>
        </w:rPr>
        <w:lastRenderedPageBreak/>
        <w:t xml:space="preserve">opdracht die de commissie zichzelf heeft </w:t>
      </w:r>
      <w:r w:rsidR="00C65911" w:rsidRPr="00EC01F6">
        <w:rPr>
          <w:rFonts w:ascii="Times New Roman" w:hAnsi="Times New Roman" w:cs="Times New Roman"/>
          <w:sz w:val="24"/>
          <w:szCs w:val="24"/>
        </w:rPr>
        <w:t>opgelegd</w:t>
      </w:r>
      <w:r w:rsidR="006A343D" w:rsidRPr="00EC01F6">
        <w:rPr>
          <w:rFonts w:ascii="Times New Roman" w:hAnsi="Times New Roman" w:cs="Times New Roman"/>
          <w:sz w:val="24"/>
          <w:szCs w:val="24"/>
        </w:rPr>
        <w:t xml:space="preserve"> is het inventariseren van de fiscale knelpunten bij de personenvennootschappen, het aandragen van oplossingen voor deze knelpunten binnen het huidige recht en daarbij </w:t>
      </w:r>
      <w:r w:rsidRPr="00EC01F6">
        <w:rPr>
          <w:rFonts w:ascii="Times New Roman" w:hAnsi="Times New Roman" w:cs="Times New Roman"/>
          <w:sz w:val="24"/>
          <w:szCs w:val="24"/>
        </w:rPr>
        <w:t>rekening houden met</w:t>
      </w:r>
      <w:r w:rsidR="006A343D" w:rsidRPr="00EC01F6">
        <w:rPr>
          <w:rFonts w:ascii="Times New Roman" w:hAnsi="Times New Roman" w:cs="Times New Roman"/>
          <w:sz w:val="24"/>
          <w:szCs w:val="24"/>
        </w:rPr>
        <w:t xml:space="preserve"> </w:t>
      </w:r>
      <w:r w:rsidR="00B51F26" w:rsidRPr="00EC01F6">
        <w:rPr>
          <w:rFonts w:ascii="Times New Roman" w:hAnsi="Times New Roman" w:cs="Times New Roman"/>
          <w:sz w:val="24"/>
          <w:szCs w:val="24"/>
        </w:rPr>
        <w:t>de</w:t>
      </w:r>
      <w:r w:rsidR="006A343D" w:rsidRPr="00EC01F6">
        <w:rPr>
          <w:rFonts w:ascii="Times New Roman" w:hAnsi="Times New Roman" w:cs="Times New Roman"/>
          <w:sz w:val="24"/>
          <w:szCs w:val="24"/>
        </w:rPr>
        <w:t xml:space="preserve"> toekomstige </w:t>
      </w:r>
      <w:r w:rsidR="0003576F" w:rsidRPr="00EC01F6">
        <w:rPr>
          <w:rFonts w:ascii="Times New Roman" w:hAnsi="Times New Roman" w:cs="Times New Roman"/>
          <w:sz w:val="24"/>
          <w:szCs w:val="24"/>
        </w:rPr>
        <w:t>titel 7.13 BW</w:t>
      </w:r>
      <w:r w:rsidR="006A343D" w:rsidRPr="00EC01F6">
        <w:rPr>
          <w:rFonts w:ascii="Times New Roman" w:hAnsi="Times New Roman" w:cs="Times New Roman"/>
          <w:sz w:val="24"/>
          <w:szCs w:val="24"/>
        </w:rPr>
        <w:t>. Qua opzet is gekozen voor een indeling per belastingwet, waarbij de omzet- en loonbelasting buiten beschouwing zijn gelaten</w:t>
      </w:r>
      <w:r w:rsidR="00EC01F6">
        <w:rPr>
          <w:rFonts w:ascii="Times New Roman" w:hAnsi="Times New Roman" w:cs="Times New Roman"/>
          <w:sz w:val="24"/>
          <w:szCs w:val="24"/>
        </w:rPr>
        <w:t>,</w:t>
      </w:r>
      <w:r w:rsidR="006A343D" w:rsidRPr="00EC01F6">
        <w:rPr>
          <w:rFonts w:ascii="Times New Roman" w:hAnsi="Times New Roman" w:cs="Times New Roman"/>
          <w:sz w:val="24"/>
          <w:szCs w:val="24"/>
        </w:rPr>
        <w:t xml:space="preserve"> omdat voor die wetten de personenvennootschappen niet</w:t>
      </w:r>
      <w:r w:rsidRPr="00EC01F6">
        <w:rPr>
          <w:rFonts w:ascii="Times New Roman" w:hAnsi="Times New Roman" w:cs="Times New Roman"/>
          <w:sz w:val="24"/>
          <w:szCs w:val="24"/>
        </w:rPr>
        <w:t xml:space="preserve"> </w:t>
      </w:r>
      <w:r w:rsidR="006A343D" w:rsidRPr="00EC01F6">
        <w:rPr>
          <w:rFonts w:ascii="Times New Roman" w:hAnsi="Times New Roman" w:cs="Times New Roman"/>
          <w:sz w:val="24"/>
          <w:szCs w:val="24"/>
        </w:rPr>
        <w:t xml:space="preserve">transparant worden </w:t>
      </w:r>
      <w:r w:rsidRPr="00EC01F6">
        <w:rPr>
          <w:rFonts w:ascii="Times New Roman" w:hAnsi="Times New Roman" w:cs="Times New Roman"/>
          <w:sz w:val="24"/>
          <w:szCs w:val="24"/>
        </w:rPr>
        <w:t>geacht</w:t>
      </w:r>
      <w:r w:rsidR="006A343D" w:rsidRPr="00EC01F6">
        <w:rPr>
          <w:rFonts w:ascii="Times New Roman" w:hAnsi="Times New Roman" w:cs="Times New Roman"/>
          <w:sz w:val="24"/>
          <w:szCs w:val="24"/>
        </w:rPr>
        <w:t>.</w:t>
      </w:r>
    </w:p>
    <w:p w14:paraId="0C2E512C" w14:textId="190A77CB" w:rsidR="006A343D" w:rsidRPr="00EC01F6" w:rsidRDefault="006A343D" w:rsidP="00EC01F6">
      <w:pPr>
        <w:rPr>
          <w:rFonts w:ascii="Times New Roman" w:hAnsi="Times New Roman" w:cs="Times New Roman"/>
          <w:sz w:val="24"/>
          <w:szCs w:val="24"/>
        </w:rPr>
      </w:pPr>
      <w:r w:rsidRPr="00EC01F6">
        <w:rPr>
          <w:rFonts w:ascii="Times New Roman" w:hAnsi="Times New Roman" w:cs="Times New Roman"/>
          <w:sz w:val="24"/>
          <w:szCs w:val="24"/>
        </w:rPr>
        <w:t xml:space="preserve">De commissievoorzitter </w:t>
      </w:r>
      <w:r w:rsidR="00386B22" w:rsidRPr="00EC01F6">
        <w:rPr>
          <w:rFonts w:ascii="Times New Roman" w:hAnsi="Times New Roman" w:cs="Times New Roman"/>
          <w:sz w:val="24"/>
          <w:szCs w:val="24"/>
        </w:rPr>
        <w:t>presenteert vervolgens de belangrijkste conclusie</w:t>
      </w:r>
      <w:r w:rsidR="00205350" w:rsidRPr="00EC01F6">
        <w:rPr>
          <w:rFonts w:ascii="Times New Roman" w:hAnsi="Times New Roman" w:cs="Times New Roman"/>
          <w:sz w:val="24"/>
          <w:szCs w:val="24"/>
        </w:rPr>
        <w:t>s</w:t>
      </w:r>
      <w:r w:rsidR="00386B22" w:rsidRPr="00EC01F6">
        <w:rPr>
          <w:rFonts w:ascii="Times New Roman" w:hAnsi="Times New Roman" w:cs="Times New Roman"/>
          <w:sz w:val="24"/>
          <w:szCs w:val="24"/>
        </w:rPr>
        <w:t xml:space="preserve"> en aanbevelingen uit het rapport. In de eerste plaats is het de commissie opgevallen dat een groot aantal knelpunten bestaat omtrent de fiscaliteit van personenvennootschappen. </w:t>
      </w:r>
      <w:r w:rsidR="00A82900" w:rsidRPr="00EC01F6">
        <w:rPr>
          <w:rFonts w:ascii="Times New Roman" w:hAnsi="Times New Roman" w:cs="Times New Roman"/>
          <w:sz w:val="24"/>
          <w:szCs w:val="24"/>
        </w:rPr>
        <w:t>Voor twee onderdelen van het rapport, te weten het inkomstenbelasting</w:t>
      </w:r>
      <w:r w:rsidR="00A25F4F" w:rsidRPr="00EC01F6">
        <w:rPr>
          <w:rFonts w:ascii="Times New Roman" w:hAnsi="Times New Roman" w:cs="Times New Roman"/>
          <w:sz w:val="24"/>
          <w:szCs w:val="24"/>
        </w:rPr>
        <w:t xml:space="preserve"> deel</w:t>
      </w:r>
      <w:r w:rsidR="00A82900" w:rsidRPr="00EC01F6">
        <w:rPr>
          <w:rFonts w:ascii="Times New Roman" w:hAnsi="Times New Roman" w:cs="Times New Roman"/>
          <w:sz w:val="24"/>
          <w:szCs w:val="24"/>
        </w:rPr>
        <w:t xml:space="preserve"> en </w:t>
      </w:r>
      <w:r w:rsidR="00A25F4F" w:rsidRPr="00EC01F6">
        <w:rPr>
          <w:rFonts w:ascii="Times New Roman" w:hAnsi="Times New Roman" w:cs="Times New Roman"/>
          <w:sz w:val="24"/>
          <w:szCs w:val="24"/>
        </w:rPr>
        <w:t xml:space="preserve">het </w:t>
      </w:r>
      <w:r w:rsidR="00A82900" w:rsidRPr="00EC01F6">
        <w:rPr>
          <w:rFonts w:ascii="Times New Roman" w:hAnsi="Times New Roman" w:cs="Times New Roman"/>
          <w:sz w:val="24"/>
          <w:szCs w:val="24"/>
        </w:rPr>
        <w:t xml:space="preserve">internationale deel, heeft de commissie gekozen om niet alleen oplossingen te zoeken </w:t>
      </w:r>
      <w:r w:rsidR="00205350" w:rsidRPr="00EC01F6">
        <w:rPr>
          <w:rFonts w:ascii="Times New Roman" w:hAnsi="Times New Roman" w:cs="Times New Roman"/>
          <w:sz w:val="24"/>
          <w:szCs w:val="24"/>
        </w:rPr>
        <w:t>binnen</w:t>
      </w:r>
      <w:r w:rsidR="00A82900" w:rsidRPr="00EC01F6">
        <w:rPr>
          <w:rFonts w:ascii="Times New Roman" w:hAnsi="Times New Roman" w:cs="Times New Roman"/>
          <w:sz w:val="24"/>
          <w:szCs w:val="24"/>
        </w:rPr>
        <w:t xml:space="preserve"> de huidige regelingen maar ook een alternatief regime aan te dragen. </w:t>
      </w:r>
    </w:p>
    <w:p w14:paraId="67ECB23D" w14:textId="79D25B91" w:rsidR="00A82900" w:rsidRPr="00EC01F6" w:rsidRDefault="00A82900"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Het tweede wat opvalt volgens de commissievoorzitter is dat het nieuwe personenvenno</w:t>
      </w:r>
      <w:r w:rsidR="002658F0" w:rsidRPr="00EC01F6">
        <w:rPr>
          <w:rFonts w:ascii="Times New Roman" w:hAnsi="Times New Roman" w:cs="Times New Roman"/>
          <w:sz w:val="24"/>
          <w:szCs w:val="24"/>
        </w:rPr>
        <w:t xml:space="preserve">otschappenrecht weinig verandert aan de bestaande fiscale knelpunten. Dat neemt niet weg dat die reeds sinds lange tijd bestaande knelpunten nu eindelijk eens moeten worden weggenomen en daarom is het belangrijk dat </w:t>
      </w:r>
      <w:r w:rsidR="00DA0271" w:rsidRPr="00EC01F6">
        <w:rPr>
          <w:rFonts w:ascii="Times New Roman" w:hAnsi="Times New Roman" w:cs="Times New Roman"/>
          <w:sz w:val="24"/>
          <w:szCs w:val="24"/>
        </w:rPr>
        <w:t xml:space="preserve">de wetgever </w:t>
      </w:r>
      <w:r w:rsidR="002658F0" w:rsidRPr="00EC01F6">
        <w:rPr>
          <w:rFonts w:ascii="Times New Roman" w:hAnsi="Times New Roman" w:cs="Times New Roman"/>
          <w:sz w:val="24"/>
          <w:szCs w:val="24"/>
        </w:rPr>
        <w:t xml:space="preserve">bij de implementatiewet van </w:t>
      </w:r>
      <w:r w:rsidR="00B51F26" w:rsidRPr="00EC01F6">
        <w:rPr>
          <w:rFonts w:ascii="Times New Roman" w:hAnsi="Times New Roman" w:cs="Times New Roman"/>
          <w:sz w:val="24"/>
          <w:szCs w:val="24"/>
        </w:rPr>
        <w:t>de</w:t>
      </w:r>
      <w:r w:rsidR="002658F0" w:rsidRPr="00EC01F6">
        <w:rPr>
          <w:rFonts w:ascii="Times New Roman" w:hAnsi="Times New Roman" w:cs="Times New Roman"/>
          <w:sz w:val="24"/>
          <w:szCs w:val="24"/>
        </w:rPr>
        <w:t xml:space="preserve"> nieuwe </w:t>
      </w:r>
      <w:r w:rsidR="0003576F" w:rsidRPr="00EC01F6">
        <w:rPr>
          <w:rFonts w:ascii="Times New Roman" w:hAnsi="Times New Roman" w:cs="Times New Roman"/>
          <w:sz w:val="24"/>
          <w:szCs w:val="24"/>
        </w:rPr>
        <w:t>titel 7.13 BW</w:t>
      </w:r>
      <w:r w:rsidR="002658F0" w:rsidRPr="00EC01F6">
        <w:rPr>
          <w:rFonts w:ascii="Times New Roman" w:hAnsi="Times New Roman" w:cs="Times New Roman"/>
          <w:sz w:val="24"/>
          <w:szCs w:val="24"/>
        </w:rPr>
        <w:t xml:space="preserve"> de belastingheffing van personenvennootschappen</w:t>
      </w:r>
      <w:r w:rsidR="00DA0271" w:rsidRPr="00EC01F6">
        <w:rPr>
          <w:rFonts w:ascii="Times New Roman" w:hAnsi="Times New Roman" w:cs="Times New Roman"/>
          <w:sz w:val="24"/>
          <w:szCs w:val="24"/>
        </w:rPr>
        <w:t xml:space="preserve"> fundamenteel herijkt</w:t>
      </w:r>
      <w:r w:rsidR="002658F0" w:rsidRPr="00EC01F6">
        <w:rPr>
          <w:rFonts w:ascii="Times New Roman" w:hAnsi="Times New Roman" w:cs="Times New Roman"/>
          <w:sz w:val="24"/>
          <w:szCs w:val="24"/>
        </w:rPr>
        <w:t xml:space="preserve">. </w:t>
      </w:r>
      <w:r w:rsidR="00DA0271" w:rsidRPr="00EC01F6">
        <w:rPr>
          <w:rFonts w:ascii="Times New Roman" w:hAnsi="Times New Roman" w:cs="Times New Roman"/>
          <w:sz w:val="24"/>
          <w:szCs w:val="24"/>
        </w:rPr>
        <w:t>Overigens, merkt de commissievoorzitter op, biedt het nieuwe personenvennootschappenrecht wel een uitkomst voor de knelpunten in de overdracht</w:t>
      </w:r>
      <w:r w:rsidR="00C65911" w:rsidRPr="00EC01F6">
        <w:rPr>
          <w:rFonts w:ascii="Times New Roman" w:hAnsi="Times New Roman" w:cs="Times New Roman"/>
          <w:sz w:val="24"/>
          <w:szCs w:val="24"/>
        </w:rPr>
        <w:t>s</w:t>
      </w:r>
      <w:r w:rsidR="00DA0271" w:rsidRPr="00EC01F6">
        <w:rPr>
          <w:rFonts w:ascii="Times New Roman" w:hAnsi="Times New Roman" w:cs="Times New Roman"/>
          <w:sz w:val="24"/>
          <w:szCs w:val="24"/>
        </w:rPr>
        <w:t>belasting.</w:t>
      </w:r>
    </w:p>
    <w:p w14:paraId="7E7EC345" w14:textId="2A140502" w:rsidR="00DA0271" w:rsidRPr="00EC01F6" w:rsidRDefault="00DA0271"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Verder is opgevallen dat het onderscheid tussen personenvennootschappen die wel en geen rechtspersoonlijkheid genieten een d</w:t>
      </w:r>
      <w:r w:rsidR="00205350" w:rsidRPr="00EC01F6">
        <w:rPr>
          <w:rFonts w:ascii="Times New Roman" w:hAnsi="Times New Roman" w:cs="Times New Roman"/>
          <w:sz w:val="24"/>
          <w:szCs w:val="24"/>
        </w:rPr>
        <w:t>eugdelijke</w:t>
      </w:r>
      <w:r w:rsidRPr="00EC01F6">
        <w:rPr>
          <w:rFonts w:ascii="Times New Roman" w:hAnsi="Times New Roman" w:cs="Times New Roman"/>
          <w:sz w:val="24"/>
          <w:szCs w:val="24"/>
        </w:rPr>
        <w:t xml:space="preserve"> grondslag mist. Het onderbouwen van dit onderscheid zou vele knelpunten kunnen wegnemen.</w:t>
      </w:r>
      <w:r w:rsidR="00E27624" w:rsidRPr="00EC01F6">
        <w:rPr>
          <w:rFonts w:ascii="Times New Roman" w:hAnsi="Times New Roman" w:cs="Times New Roman"/>
          <w:sz w:val="24"/>
          <w:szCs w:val="24"/>
        </w:rPr>
        <w:t xml:space="preserve"> De commissie </w:t>
      </w:r>
      <w:r w:rsidR="00C65911" w:rsidRPr="00EC01F6">
        <w:rPr>
          <w:rFonts w:ascii="Times New Roman" w:hAnsi="Times New Roman" w:cs="Times New Roman"/>
          <w:sz w:val="24"/>
          <w:szCs w:val="24"/>
        </w:rPr>
        <w:t xml:space="preserve">merkt ook op </w:t>
      </w:r>
      <w:r w:rsidR="00E27624" w:rsidRPr="00EC01F6">
        <w:rPr>
          <w:rFonts w:ascii="Times New Roman" w:hAnsi="Times New Roman" w:cs="Times New Roman"/>
          <w:sz w:val="24"/>
          <w:szCs w:val="24"/>
        </w:rPr>
        <w:t xml:space="preserve">dat de eenzijdige aanpak van de OESO en </w:t>
      </w:r>
      <w:r w:rsidR="00EC2D57" w:rsidRPr="00EC01F6">
        <w:rPr>
          <w:rFonts w:ascii="Times New Roman" w:hAnsi="Times New Roman" w:cs="Times New Roman"/>
          <w:sz w:val="24"/>
          <w:szCs w:val="24"/>
        </w:rPr>
        <w:t xml:space="preserve">van </w:t>
      </w:r>
      <w:r w:rsidR="002222B5" w:rsidRPr="00EC01F6">
        <w:rPr>
          <w:rFonts w:ascii="Times New Roman" w:hAnsi="Times New Roman" w:cs="Times New Roman"/>
          <w:sz w:val="24"/>
          <w:szCs w:val="24"/>
        </w:rPr>
        <w:t xml:space="preserve">de </w:t>
      </w:r>
      <w:r w:rsidR="00E27624" w:rsidRPr="00EC01F6">
        <w:rPr>
          <w:rFonts w:ascii="Times New Roman" w:hAnsi="Times New Roman" w:cs="Times New Roman"/>
          <w:sz w:val="24"/>
          <w:szCs w:val="24"/>
        </w:rPr>
        <w:t xml:space="preserve">EU </w:t>
      </w:r>
      <w:r w:rsidR="00EC2D57" w:rsidRPr="00EC01F6">
        <w:rPr>
          <w:rFonts w:ascii="Times New Roman" w:hAnsi="Times New Roman" w:cs="Times New Roman"/>
          <w:sz w:val="24"/>
          <w:szCs w:val="24"/>
        </w:rPr>
        <w:t>zijn</w:t>
      </w:r>
      <w:r w:rsidR="00E27624" w:rsidRPr="00EC01F6">
        <w:rPr>
          <w:rFonts w:ascii="Times New Roman" w:hAnsi="Times New Roman" w:cs="Times New Roman"/>
          <w:sz w:val="24"/>
          <w:szCs w:val="24"/>
        </w:rPr>
        <w:t xml:space="preserve"> gericht op </w:t>
      </w:r>
      <w:r w:rsidR="00EC2D57" w:rsidRPr="00EC01F6">
        <w:rPr>
          <w:rFonts w:ascii="Times New Roman" w:hAnsi="Times New Roman" w:cs="Times New Roman"/>
          <w:sz w:val="24"/>
          <w:szCs w:val="24"/>
        </w:rPr>
        <w:t>het bestrijden</w:t>
      </w:r>
      <w:r w:rsidR="00E27624" w:rsidRPr="00EC01F6">
        <w:rPr>
          <w:rFonts w:ascii="Times New Roman" w:hAnsi="Times New Roman" w:cs="Times New Roman"/>
          <w:sz w:val="24"/>
          <w:szCs w:val="24"/>
        </w:rPr>
        <w:t xml:space="preserve"> van belastingontwijking door middel van hybride entiteiten binnen concernverband, waarbij eventuele dubbele heffing </w:t>
      </w:r>
      <w:r w:rsidR="00205350" w:rsidRPr="00EC01F6">
        <w:rPr>
          <w:rFonts w:ascii="Times New Roman" w:hAnsi="Times New Roman" w:cs="Times New Roman"/>
          <w:sz w:val="24"/>
          <w:szCs w:val="24"/>
        </w:rPr>
        <w:t xml:space="preserve">met name </w:t>
      </w:r>
      <w:r w:rsidR="00E27624" w:rsidRPr="00EC01F6">
        <w:rPr>
          <w:rFonts w:ascii="Times New Roman" w:hAnsi="Times New Roman" w:cs="Times New Roman"/>
          <w:sz w:val="24"/>
          <w:szCs w:val="24"/>
        </w:rPr>
        <w:t>bij natuurlijk</w:t>
      </w:r>
      <w:r w:rsidR="00205350" w:rsidRPr="00EC01F6">
        <w:rPr>
          <w:rFonts w:ascii="Times New Roman" w:hAnsi="Times New Roman" w:cs="Times New Roman"/>
          <w:sz w:val="24"/>
          <w:szCs w:val="24"/>
        </w:rPr>
        <w:t>e</w:t>
      </w:r>
      <w:r w:rsidR="00E27624" w:rsidRPr="00EC01F6">
        <w:rPr>
          <w:rFonts w:ascii="Times New Roman" w:hAnsi="Times New Roman" w:cs="Times New Roman"/>
          <w:sz w:val="24"/>
          <w:szCs w:val="24"/>
        </w:rPr>
        <w:t xml:space="preserve"> personen </w:t>
      </w:r>
      <w:r w:rsidR="00205350" w:rsidRPr="00EC01F6">
        <w:rPr>
          <w:rFonts w:ascii="Times New Roman" w:hAnsi="Times New Roman" w:cs="Times New Roman"/>
          <w:sz w:val="24"/>
          <w:szCs w:val="24"/>
        </w:rPr>
        <w:t>geheel</w:t>
      </w:r>
      <w:r w:rsidR="00E27624" w:rsidRPr="00EC01F6">
        <w:rPr>
          <w:rFonts w:ascii="Times New Roman" w:hAnsi="Times New Roman" w:cs="Times New Roman"/>
          <w:sz w:val="24"/>
          <w:szCs w:val="24"/>
        </w:rPr>
        <w:t xml:space="preserve"> uit het oog verloren wordt.</w:t>
      </w:r>
    </w:p>
    <w:p w14:paraId="60162A98" w14:textId="77777777" w:rsidR="00E27624" w:rsidRPr="00EC01F6" w:rsidRDefault="004E0B4E" w:rsidP="00EC01F6">
      <w:pPr>
        <w:ind w:left="360"/>
        <w:rPr>
          <w:rFonts w:ascii="Times New Roman" w:hAnsi="Times New Roman" w:cs="Times New Roman"/>
          <w:i/>
          <w:sz w:val="24"/>
          <w:szCs w:val="24"/>
        </w:rPr>
      </w:pPr>
      <w:r w:rsidRPr="00EC01F6">
        <w:rPr>
          <w:rFonts w:ascii="Times New Roman" w:hAnsi="Times New Roman" w:cs="Times New Roman"/>
          <w:i/>
          <w:sz w:val="24"/>
          <w:szCs w:val="24"/>
        </w:rPr>
        <w:t>2.</w:t>
      </w:r>
      <w:r w:rsidR="00506DB1" w:rsidRPr="00EC01F6">
        <w:rPr>
          <w:rFonts w:ascii="Times New Roman" w:hAnsi="Times New Roman" w:cs="Times New Roman"/>
          <w:i/>
          <w:sz w:val="24"/>
          <w:szCs w:val="24"/>
        </w:rPr>
        <w:t>2</w:t>
      </w:r>
      <w:r w:rsidRPr="00EC01F6">
        <w:rPr>
          <w:rFonts w:ascii="Times New Roman" w:hAnsi="Times New Roman" w:cs="Times New Roman"/>
          <w:i/>
          <w:sz w:val="24"/>
          <w:szCs w:val="24"/>
        </w:rPr>
        <w:t xml:space="preserve"> </w:t>
      </w:r>
      <w:r w:rsidR="00E27624" w:rsidRPr="00EC01F6">
        <w:rPr>
          <w:rFonts w:ascii="Times New Roman" w:hAnsi="Times New Roman" w:cs="Times New Roman"/>
          <w:i/>
          <w:sz w:val="24"/>
          <w:szCs w:val="24"/>
        </w:rPr>
        <w:t>Inkomstenbelasting</w:t>
      </w:r>
    </w:p>
    <w:p w14:paraId="4D6D0539" w14:textId="77777777" w:rsidR="00506DB1" w:rsidRPr="00EC01F6" w:rsidRDefault="00506DB1"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2.2.1 </w:t>
      </w:r>
      <w:r w:rsidR="006F30A1" w:rsidRPr="00EC01F6">
        <w:rPr>
          <w:rFonts w:ascii="Times New Roman" w:hAnsi="Times New Roman" w:cs="Times New Roman"/>
          <w:i/>
          <w:sz w:val="24"/>
          <w:szCs w:val="24"/>
        </w:rPr>
        <w:t>I</w:t>
      </w:r>
      <w:r w:rsidRPr="00EC01F6">
        <w:rPr>
          <w:rFonts w:ascii="Times New Roman" w:hAnsi="Times New Roman" w:cs="Times New Roman"/>
          <w:i/>
          <w:sz w:val="24"/>
          <w:szCs w:val="24"/>
        </w:rPr>
        <w:t>nleiding</w:t>
      </w:r>
    </w:p>
    <w:p w14:paraId="6A6E4D25" w14:textId="5D10D5D9" w:rsidR="00E27624" w:rsidRPr="00EC01F6" w:rsidRDefault="00E2762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Doornebal</w:t>
      </w:r>
      <w:r w:rsidRPr="00EC01F6">
        <w:rPr>
          <w:rStyle w:val="Voetnootmarkering"/>
          <w:rFonts w:ascii="Times New Roman" w:hAnsi="Times New Roman" w:cs="Times New Roman"/>
          <w:sz w:val="24"/>
          <w:szCs w:val="24"/>
        </w:rPr>
        <w:footnoteReference w:id="8"/>
      </w:r>
      <w:r w:rsidRPr="00EC01F6">
        <w:rPr>
          <w:rFonts w:ascii="Times New Roman" w:hAnsi="Times New Roman" w:cs="Times New Roman"/>
          <w:sz w:val="24"/>
          <w:szCs w:val="24"/>
        </w:rPr>
        <w:t xml:space="preserve"> en Van Kempen</w:t>
      </w:r>
      <w:r w:rsidRPr="00EC01F6">
        <w:rPr>
          <w:rStyle w:val="Voetnootmarkering"/>
          <w:rFonts w:ascii="Times New Roman" w:hAnsi="Times New Roman" w:cs="Times New Roman"/>
          <w:sz w:val="24"/>
          <w:szCs w:val="24"/>
        </w:rPr>
        <w:footnoteReference w:id="9"/>
      </w:r>
      <w:r w:rsidRPr="00EC01F6">
        <w:rPr>
          <w:rFonts w:ascii="Times New Roman" w:hAnsi="Times New Roman" w:cs="Times New Roman"/>
          <w:sz w:val="24"/>
          <w:szCs w:val="24"/>
        </w:rPr>
        <w:t xml:space="preserve"> zijn tot de conclusie gekomen dat </w:t>
      </w:r>
      <w:r w:rsidR="009E601F" w:rsidRPr="00EC01F6">
        <w:rPr>
          <w:rFonts w:ascii="Times New Roman" w:hAnsi="Times New Roman" w:cs="Times New Roman"/>
          <w:sz w:val="24"/>
          <w:szCs w:val="24"/>
        </w:rPr>
        <w:t xml:space="preserve">het </w:t>
      </w:r>
      <w:r w:rsidRPr="00EC01F6">
        <w:rPr>
          <w:rFonts w:ascii="Times New Roman" w:hAnsi="Times New Roman" w:cs="Times New Roman"/>
          <w:sz w:val="24"/>
          <w:szCs w:val="24"/>
        </w:rPr>
        <w:t xml:space="preserve">de fiscale transparantie van personenvennootschappen </w:t>
      </w:r>
      <w:r w:rsidR="009E601F" w:rsidRPr="00EC01F6">
        <w:rPr>
          <w:rFonts w:ascii="Times New Roman" w:hAnsi="Times New Roman" w:cs="Times New Roman"/>
          <w:sz w:val="24"/>
          <w:szCs w:val="24"/>
        </w:rPr>
        <w:t xml:space="preserve">aan </w:t>
      </w:r>
      <w:r w:rsidRPr="00EC01F6">
        <w:rPr>
          <w:rFonts w:ascii="Times New Roman" w:hAnsi="Times New Roman" w:cs="Times New Roman"/>
          <w:sz w:val="24"/>
          <w:szCs w:val="24"/>
        </w:rPr>
        <w:t>een deugdelijke grondslag ontb</w:t>
      </w:r>
      <w:r w:rsidR="000A42A6" w:rsidRPr="00EC01F6">
        <w:rPr>
          <w:rFonts w:ascii="Times New Roman" w:hAnsi="Times New Roman" w:cs="Times New Roman"/>
          <w:sz w:val="24"/>
          <w:szCs w:val="24"/>
        </w:rPr>
        <w:t>eert</w:t>
      </w:r>
      <w:r w:rsidRPr="00EC01F6">
        <w:rPr>
          <w:rFonts w:ascii="Times New Roman" w:hAnsi="Times New Roman" w:cs="Times New Roman"/>
          <w:sz w:val="24"/>
          <w:szCs w:val="24"/>
        </w:rPr>
        <w:t xml:space="preserve">. De knelpunten zitten met name in de grote complexiteit en die complicaties zijn van drieërlei aard: i) omvang van de fiscale transparantie (zijn </w:t>
      </w:r>
      <w:r w:rsidR="00205350" w:rsidRPr="00EC01F6">
        <w:rPr>
          <w:rFonts w:ascii="Times New Roman" w:hAnsi="Times New Roman" w:cs="Times New Roman"/>
          <w:sz w:val="24"/>
          <w:szCs w:val="24"/>
        </w:rPr>
        <w:t xml:space="preserve">bijvoorbeeld </w:t>
      </w:r>
      <w:r w:rsidRPr="00EC01F6">
        <w:rPr>
          <w:rFonts w:ascii="Times New Roman" w:hAnsi="Times New Roman" w:cs="Times New Roman"/>
          <w:sz w:val="24"/>
          <w:szCs w:val="24"/>
        </w:rPr>
        <w:t xml:space="preserve">leningen tussen vennootschap en vennoot </w:t>
      </w:r>
      <w:r w:rsidR="00205350" w:rsidRPr="00EC01F6">
        <w:rPr>
          <w:rFonts w:ascii="Times New Roman" w:hAnsi="Times New Roman" w:cs="Times New Roman"/>
          <w:sz w:val="24"/>
          <w:szCs w:val="24"/>
        </w:rPr>
        <w:t xml:space="preserve">fiscaal </w:t>
      </w:r>
      <w:r w:rsidRPr="00EC01F6">
        <w:rPr>
          <w:rFonts w:ascii="Times New Roman" w:hAnsi="Times New Roman" w:cs="Times New Roman"/>
          <w:sz w:val="24"/>
          <w:szCs w:val="24"/>
        </w:rPr>
        <w:t xml:space="preserve">zichtbaar?); ii) toepassing van de normale regels inzake fiscale winstbepaling (sommige regelingen sluiten aan bij </w:t>
      </w:r>
      <w:r w:rsidR="009E601F" w:rsidRPr="00EC01F6">
        <w:rPr>
          <w:rFonts w:ascii="Times New Roman" w:hAnsi="Times New Roman" w:cs="Times New Roman"/>
          <w:sz w:val="24"/>
          <w:szCs w:val="24"/>
        </w:rPr>
        <w:t xml:space="preserve">de </w:t>
      </w:r>
      <w:r w:rsidRPr="00EC01F6">
        <w:rPr>
          <w:rFonts w:ascii="Times New Roman" w:hAnsi="Times New Roman" w:cs="Times New Roman"/>
          <w:sz w:val="24"/>
          <w:szCs w:val="24"/>
        </w:rPr>
        <w:t>subjectieve</w:t>
      </w:r>
      <w:r w:rsidR="0015796E" w:rsidRPr="00EC01F6">
        <w:rPr>
          <w:rFonts w:ascii="Times New Roman" w:hAnsi="Times New Roman" w:cs="Times New Roman"/>
          <w:sz w:val="24"/>
          <w:szCs w:val="24"/>
        </w:rPr>
        <w:t>,</w:t>
      </w:r>
      <w:r w:rsidRPr="00EC01F6">
        <w:rPr>
          <w:rFonts w:ascii="Times New Roman" w:hAnsi="Times New Roman" w:cs="Times New Roman"/>
          <w:sz w:val="24"/>
          <w:szCs w:val="24"/>
        </w:rPr>
        <w:t xml:space="preserve"> andere bij </w:t>
      </w:r>
      <w:r w:rsidR="009E601F" w:rsidRPr="00EC01F6">
        <w:rPr>
          <w:rFonts w:ascii="Times New Roman" w:hAnsi="Times New Roman" w:cs="Times New Roman"/>
          <w:sz w:val="24"/>
          <w:szCs w:val="24"/>
        </w:rPr>
        <w:t xml:space="preserve">de </w:t>
      </w:r>
      <w:r w:rsidRPr="00EC01F6">
        <w:rPr>
          <w:rFonts w:ascii="Times New Roman" w:hAnsi="Times New Roman" w:cs="Times New Roman"/>
          <w:sz w:val="24"/>
          <w:szCs w:val="24"/>
        </w:rPr>
        <w:t>objectieve onderneming</w:t>
      </w:r>
      <w:r w:rsidR="00B51F26" w:rsidRPr="00EC01F6">
        <w:rPr>
          <w:rFonts w:ascii="Times New Roman" w:hAnsi="Times New Roman" w:cs="Times New Roman"/>
          <w:sz w:val="24"/>
          <w:szCs w:val="24"/>
        </w:rPr>
        <w:t>);</w:t>
      </w:r>
      <w:r w:rsidRPr="00EC01F6">
        <w:rPr>
          <w:rFonts w:ascii="Times New Roman" w:hAnsi="Times New Roman" w:cs="Times New Roman"/>
          <w:sz w:val="24"/>
          <w:szCs w:val="24"/>
        </w:rPr>
        <w:t xml:space="preserve"> en iii) toetreding, vervanging en uittreding van vennoten.</w:t>
      </w:r>
    </w:p>
    <w:p w14:paraId="249284CC" w14:textId="75495E2F" w:rsidR="00E27624" w:rsidRPr="00EC01F6" w:rsidRDefault="00E2762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De ideale oplossing is volgens de auteurs van het inkomstenbelastingdeel van het rapport</w:t>
      </w:r>
      <w:r w:rsidR="00205350" w:rsidRPr="00EC01F6">
        <w:rPr>
          <w:rFonts w:ascii="Times New Roman" w:hAnsi="Times New Roman" w:cs="Times New Roman"/>
          <w:sz w:val="24"/>
          <w:szCs w:val="24"/>
        </w:rPr>
        <w:t xml:space="preserve"> </w:t>
      </w:r>
      <w:r w:rsidRPr="00EC01F6">
        <w:rPr>
          <w:rFonts w:ascii="Times New Roman" w:hAnsi="Times New Roman" w:cs="Times New Roman"/>
          <w:sz w:val="24"/>
          <w:szCs w:val="24"/>
        </w:rPr>
        <w:t>gelegen in een ondernemingswinstbelasting</w:t>
      </w:r>
      <w:r w:rsidR="00F06C78" w:rsidRPr="00EC01F6">
        <w:rPr>
          <w:rFonts w:ascii="Times New Roman" w:hAnsi="Times New Roman" w:cs="Times New Roman"/>
          <w:sz w:val="24"/>
          <w:szCs w:val="24"/>
        </w:rPr>
        <w:t xml:space="preserve"> met een zelfstandige belastingplicht voor </w:t>
      </w:r>
      <w:r w:rsidR="00F06C78" w:rsidRPr="00EC01F6">
        <w:rPr>
          <w:rFonts w:ascii="Times New Roman" w:hAnsi="Times New Roman" w:cs="Times New Roman"/>
          <w:sz w:val="24"/>
          <w:szCs w:val="24"/>
        </w:rPr>
        <w:lastRenderedPageBreak/>
        <w:t>personenvennootschappen. Dit ideaal blijkt moeilijk haalbaar en daarom is in het rapport een alternatief systeem voorgesteld waarin de belastingheffing omtrent personen- en kapitaalvennootschappen dichter</w:t>
      </w:r>
      <w:r w:rsidR="0022681A" w:rsidRPr="00EC01F6">
        <w:rPr>
          <w:rFonts w:ascii="Times New Roman" w:hAnsi="Times New Roman" w:cs="Times New Roman"/>
          <w:sz w:val="24"/>
          <w:szCs w:val="24"/>
        </w:rPr>
        <w:t xml:space="preserve"> </w:t>
      </w:r>
      <w:r w:rsidR="00F06C78" w:rsidRPr="00EC01F6">
        <w:rPr>
          <w:rFonts w:ascii="Times New Roman" w:hAnsi="Times New Roman" w:cs="Times New Roman"/>
          <w:sz w:val="24"/>
          <w:szCs w:val="24"/>
        </w:rPr>
        <w:t>bij elkaar gebracht worden. Het alternatieve systeem dat zich binnen het huidige box 1</w:t>
      </w:r>
      <w:r w:rsidR="00B51F26" w:rsidRPr="00EC01F6">
        <w:rPr>
          <w:rFonts w:ascii="Times New Roman" w:hAnsi="Times New Roman" w:cs="Times New Roman"/>
          <w:sz w:val="24"/>
          <w:szCs w:val="24"/>
        </w:rPr>
        <w:t>-regime</w:t>
      </w:r>
      <w:r w:rsidR="00F06C78" w:rsidRPr="00EC01F6">
        <w:rPr>
          <w:rStyle w:val="Voetnootmarkering"/>
          <w:rFonts w:ascii="Times New Roman" w:hAnsi="Times New Roman" w:cs="Times New Roman"/>
          <w:sz w:val="24"/>
          <w:szCs w:val="24"/>
        </w:rPr>
        <w:footnoteReference w:id="10"/>
      </w:r>
      <w:r w:rsidR="00F06C78" w:rsidRPr="00EC01F6">
        <w:rPr>
          <w:rFonts w:ascii="Times New Roman" w:hAnsi="Times New Roman" w:cs="Times New Roman"/>
          <w:sz w:val="24"/>
          <w:szCs w:val="24"/>
        </w:rPr>
        <w:t xml:space="preserve"> manifesteert neemt als uitgangspunt de personenvennootschap </w:t>
      </w:r>
      <w:r w:rsidR="00F06C78" w:rsidRPr="00EC01F6">
        <w:rPr>
          <w:rFonts w:ascii="Times New Roman" w:hAnsi="Times New Roman" w:cs="Times New Roman"/>
          <w:i/>
          <w:sz w:val="24"/>
          <w:szCs w:val="24"/>
        </w:rPr>
        <w:t xml:space="preserve">of </w:t>
      </w:r>
      <w:r w:rsidR="00F06C78" w:rsidRPr="00EC01F6">
        <w:rPr>
          <w:rFonts w:ascii="Times New Roman" w:hAnsi="Times New Roman" w:cs="Times New Roman"/>
          <w:sz w:val="24"/>
          <w:szCs w:val="24"/>
        </w:rPr>
        <w:t>de objectieve onderneming. De keuze tussen deze twee mogelijke uitgangspunten maakt voor het alternatieve systeem niet zo gek veel uit, aldus de commissievoorzitter.</w:t>
      </w:r>
    </w:p>
    <w:p w14:paraId="23FD3F5B" w14:textId="77777777" w:rsidR="00506DB1" w:rsidRPr="00EC01F6" w:rsidRDefault="00506DB1"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2.2.2 </w:t>
      </w:r>
      <w:r w:rsidR="006F30A1" w:rsidRPr="00EC01F6">
        <w:rPr>
          <w:rFonts w:ascii="Times New Roman" w:hAnsi="Times New Roman" w:cs="Times New Roman"/>
          <w:i/>
          <w:sz w:val="24"/>
          <w:szCs w:val="24"/>
        </w:rPr>
        <w:t>H</w:t>
      </w:r>
      <w:r w:rsidRPr="00EC01F6">
        <w:rPr>
          <w:rFonts w:ascii="Times New Roman" w:hAnsi="Times New Roman" w:cs="Times New Roman"/>
          <w:i/>
          <w:sz w:val="24"/>
          <w:szCs w:val="24"/>
        </w:rPr>
        <w:t>et alternatieve systeem</w:t>
      </w:r>
    </w:p>
    <w:p w14:paraId="45745735" w14:textId="1085C1E7" w:rsidR="00F06C78" w:rsidRPr="00EC01F6" w:rsidRDefault="00F06C78"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Het alternatieve systeem kent twee fasen</w:t>
      </w:r>
      <w:r w:rsidR="009E601F" w:rsidRPr="00EC01F6">
        <w:rPr>
          <w:rFonts w:ascii="Times New Roman" w:hAnsi="Times New Roman" w:cs="Times New Roman"/>
          <w:sz w:val="24"/>
          <w:szCs w:val="24"/>
        </w:rPr>
        <w:t xml:space="preserve"> van belastingheffing</w:t>
      </w:r>
      <w:r w:rsidRPr="00EC01F6">
        <w:rPr>
          <w:rFonts w:ascii="Times New Roman" w:hAnsi="Times New Roman" w:cs="Times New Roman"/>
          <w:sz w:val="24"/>
          <w:szCs w:val="24"/>
        </w:rPr>
        <w:t>. Deze twee fasen lijken heel erg veel op de twee fasen die we kunnen onderscheiden bij de belastingheffing van ondernemingswinsten die via een kapitaalvennootschap worden genoten. De eerste fase</w:t>
      </w:r>
      <w:r w:rsidR="00FF7860" w:rsidRPr="00EC01F6">
        <w:rPr>
          <w:rFonts w:ascii="Times New Roman" w:hAnsi="Times New Roman" w:cs="Times New Roman"/>
          <w:sz w:val="24"/>
          <w:szCs w:val="24"/>
        </w:rPr>
        <w:t xml:space="preserve"> betreft de</w:t>
      </w:r>
      <w:r w:rsidRPr="00EC01F6">
        <w:rPr>
          <w:rFonts w:ascii="Times New Roman" w:hAnsi="Times New Roman" w:cs="Times New Roman"/>
          <w:sz w:val="24"/>
          <w:szCs w:val="24"/>
        </w:rPr>
        <w:t xml:space="preserve"> winstvaststelling op het niveau van de vennootschap of </w:t>
      </w:r>
      <w:r w:rsidR="009C7BED" w:rsidRPr="00EC01F6">
        <w:rPr>
          <w:rFonts w:ascii="Times New Roman" w:hAnsi="Times New Roman" w:cs="Times New Roman"/>
          <w:sz w:val="24"/>
          <w:szCs w:val="24"/>
        </w:rPr>
        <w:t xml:space="preserve">de </w:t>
      </w:r>
      <w:r w:rsidRPr="00EC01F6">
        <w:rPr>
          <w:rFonts w:ascii="Times New Roman" w:hAnsi="Times New Roman" w:cs="Times New Roman"/>
          <w:sz w:val="24"/>
          <w:szCs w:val="24"/>
        </w:rPr>
        <w:t>objectieve onderneming</w:t>
      </w:r>
      <w:r w:rsidR="00957A9D" w:rsidRPr="00EC01F6">
        <w:rPr>
          <w:rFonts w:ascii="Times New Roman" w:hAnsi="Times New Roman" w:cs="Times New Roman"/>
          <w:sz w:val="24"/>
          <w:szCs w:val="24"/>
        </w:rPr>
        <w:t>. Die winst wordt belast tegen een tarief dat gelijk is aan het basistarief van de vennootschapsbelasting</w:t>
      </w:r>
      <w:r w:rsidR="00957A9D" w:rsidRPr="00EC01F6">
        <w:rPr>
          <w:rStyle w:val="Voetnootmarkering"/>
          <w:rFonts w:ascii="Times New Roman" w:hAnsi="Times New Roman" w:cs="Times New Roman"/>
          <w:sz w:val="24"/>
          <w:szCs w:val="24"/>
        </w:rPr>
        <w:footnoteReference w:id="11"/>
      </w:r>
      <w:r w:rsidR="00957A9D" w:rsidRPr="00EC01F6">
        <w:rPr>
          <w:rFonts w:ascii="Times New Roman" w:hAnsi="Times New Roman" w:cs="Times New Roman"/>
          <w:sz w:val="24"/>
          <w:szCs w:val="24"/>
        </w:rPr>
        <w:t>.</w:t>
      </w:r>
      <w:r w:rsidR="000D7888" w:rsidRPr="00EC01F6">
        <w:rPr>
          <w:rFonts w:ascii="Times New Roman" w:hAnsi="Times New Roman" w:cs="Times New Roman"/>
          <w:sz w:val="24"/>
          <w:szCs w:val="24"/>
        </w:rPr>
        <w:t xml:space="preserve"> De tweede fase</w:t>
      </w:r>
      <w:r w:rsidR="009C7BED" w:rsidRPr="00EC01F6">
        <w:rPr>
          <w:rFonts w:ascii="Times New Roman" w:hAnsi="Times New Roman" w:cs="Times New Roman"/>
          <w:sz w:val="24"/>
          <w:szCs w:val="24"/>
        </w:rPr>
        <w:t xml:space="preserve"> </w:t>
      </w:r>
      <w:r w:rsidR="001D2852" w:rsidRPr="00EC01F6">
        <w:rPr>
          <w:rFonts w:ascii="Times New Roman" w:hAnsi="Times New Roman" w:cs="Times New Roman"/>
          <w:sz w:val="24"/>
          <w:szCs w:val="24"/>
        </w:rPr>
        <w:t xml:space="preserve">houdt in dat </w:t>
      </w:r>
      <w:r w:rsidR="000D7888" w:rsidRPr="00EC01F6">
        <w:rPr>
          <w:rFonts w:ascii="Times New Roman" w:hAnsi="Times New Roman" w:cs="Times New Roman"/>
          <w:sz w:val="24"/>
          <w:szCs w:val="24"/>
        </w:rPr>
        <w:t>bij onttrekking van winst een bijheffing plaats</w:t>
      </w:r>
      <w:r w:rsidR="001D2852" w:rsidRPr="00EC01F6">
        <w:rPr>
          <w:rFonts w:ascii="Times New Roman" w:hAnsi="Times New Roman" w:cs="Times New Roman"/>
          <w:sz w:val="24"/>
          <w:szCs w:val="24"/>
        </w:rPr>
        <w:t>vindt</w:t>
      </w:r>
      <w:r w:rsidR="000D7888" w:rsidRPr="00EC01F6">
        <w:rPr>
          <w:rFonts w:ascii="Times New Roman" w:hAnsi="Times New Roman" w:cs="Times New Roman"/>
          <w:sz w:val="24"/>
          <w:szCs w:val="24"/>
        </w:rPr>
        <w:t xml:space="preserve"> die resulteert in een gecombineerde heffing in de eerste en tweede fase die gelijk is aan het huidige tarief in box 1. Het box 1-systeem blijft in stand, maar </w:t>
      </w:r>
      <w:r w:rsidR="009E601F" w:rsidRPr="00EC01F6">
        <w:rPr>
          <w:rFonts w:ascii="Times New Roman" w:hAnsi="Times New Roman" w:cs="Times New Roman"/>
          <w:sz w:val="24"/>
          <w:szCs w:val="24"/>
        </w:rPr>
        <w:t>daarbinnen</w:t>
      </w:r>
      <w:r w:rsidR="000D7888" w:rsidRPr="00EC01F6">
        <w:rPr>
          <w:rFonts w:ascii="Times New Roman" w:hAnsi="Times New Roman" w:cs="Times New Roman"/>
          <w:sz w:val="24"/>
          <w:szCs w:val="24"/>
        </w:rPr>
        <w:t xml:space="preserve"> introduceert dit systeem een tweetrapsraket. Doornebal en Van Kempen stellen voor dit alternatieve systeem ook van toepassing te laten zijn op de eenmanszaak.</w:t>
      </w:r>
    </w:p>
    <w:p w14:paraId="1B425B3B" w14:textId="77777777" w:rsidR="000D7888" w:rsidRPr="00EC01F6" w:rsidRDefault="000D7888"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De doorwerking van dit alternatieve systeem in de vennootschapsbelasting en het internationale belastingrecht is ook meegenomen in de respectievelijke onderdelen van het rapport.</w:t>
      </w:r>
    </w:p>
    <w:p w14:paraId="5BB2AB24" w14:textId="77777777" w:rsidR="000D7888" w:rsidRPr="00EC01F6" w:rsidRDefault="00506DB1"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2.2.3 </w:t>
      </w:r>
      <w:r w:rsidR="000D7888" w:rsidRPr="00EC01F6">
        <w:rPr>
          <w:rFonts w:ascii="Times New Roman" w:hAnsi="Times New Roman" w:cs="Times New Roman"/>
          <w:i/>
          <w:sz w:val="24"/>
          <w:szCs w:val="24"/>
        </w:rPr>
        <w:t>Voorbeeld alternatieve systeem</w:t>
      </w:r>
    </w:p>
    <w:p w14:paraId="705C7392" w14:textId="3C80D600" w:rsidR="000D7888" w:rsidRPr="00EC01F6" w:rsidRDefault="000D7888"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Bij een basistarief van 15% in de vennootschapsbelasting kent de belastingheffing in de eerste fase twee tariefschijven</w:t>
      </w:r>
      <w:r w:rsidR="00D907F1" w:rsidRPr="00EC01F6">
        <w:rPr>
          <w:rFonts w:ascii="Times New Roman" w:hAnsi="Times New Roman" w:cs="Times New Roman"/>
          <w:sz w:val="24"/>
          <w:szCs w:val="24"/>
        </w:rPr>
        <w:t xml:space="preserve">: winst tot € 68.500 een tarief van </w:t>
      </w:r>
      <w:r w:rsidR="0018132C" w:rsidRPr="00EC01F6">
        <w:rPr>
          <w:rFonts w:ascii="Times New Roman" w:hAnsi="Times New Roman" w:cs="Times New Roman"/>
          <w:sz w:val="24"/>
          <w:szCs w:val="24"/>
        </w:rPr>
        <w:t>(</w:t>
      </w:r>
      <w:r w:rsidR="00D907F1" w:rsidRPr="00EC01F6">
        <w:rPr>
          <w:rFonts w:ascii="Times New Roman" w:hAnsi="Times New Roman" w:cs="Times New Roman"/>
          <w:sz w:val="24"/>
          <w:szCs w:val="24"/>
        </w:rPr>
        <w:t>37%</w:t>
      </w:r>
      <w:r w:rsidR="0018132C" w:rsidRPr="00EC01F6">
        <w:rPr>
          <w:rFonts w:ascii="Times New Roman" w:hAnsi="Times New Roman" w:cs="Times New Roman"/>
          <w:sz w:val="24"/>
          <w:szCs w:val="24"/>
        </w:rPr>
        <w:t xml:space="preserve"> - 22%=) 15%</w:t>
      </w:r>
      <w:r w:rsidR="00D907F1" w:rsidRPr="00EC01F6">
        <w:rPr>
          <w:rFonts w:ascii="Times New Roman" w:hAnsi="Times New Roman" w:cs="Times New Roman"/>
          <w:sz w:val="24"/>
          <w:szCs w:val="24"/>
        </w:rPr>
        <w:t xml:space="preserve"> en daarboven </w:t>
      </w:r>
      <w:r w:rsidR="0018132C" w:rsidRPr="00EC01F6">
        <w:rPr>
          <w:rFonts w:ascii="Times New Roman" w:hAnsi="Times New Roman" w:cs="Times New Roman"/>
          <w:sz w:val="24"/>
          <w:szCs w:val="24"/>
        </w:rPr>
        <w:t xml:space="preserve">(49,5% - 22%=) </w:t>
      </w:r>
      <w:r w:rsidR="00D907F1" w:rsidRPr="00EC01F6">
        <w:rPr>
          <w:rFonts w:ascii="Times New Roman" w:hAnsi="Times New Roman" w:cs="Times New Roman"/>
          <w:sz w:val="24"/>
          <w:szCs w:val="24"/>
        </w:rPr>
        <w:t xml:space="preserve">27,5%. Het tarief in de tweede fase is 22%. </w:t>
      </w:r>
    </w:p>
    <w:p w14:paraId="25CA8CAB" w14:textId="766C75BC" w:rsidR="00D907F1" w:rsidRPr="00EC01F6" w:rsidRDefault="00F5407F"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Als e</w:t>
      </w:r>
      <w:r w:rsidR="00D907F1" w:rsidRPr="00EC01F6">
        <w:rPr>
          <w:rFonts w:ascii="Times New Roman" w:hAnsi="Times New Roman" w:cs="Times New Roman"/>
          <w:sz w:val="24"/>
          <w:szCs w:val="24"/>
        </w:rPr>
        <w:t xml:space="preserve">en vennoot in een personenvennootschap met </w:t>
      </w:r>
      <w:r w:rsidRPr="00EC01F6">
        <w:rPr>
          <w:rFonts w:ascii="Times New Roman" w:hAnsi="Times New Roman" w:cs="Times New Roman"/>
          <w:sz w:val="24"/>
          <w:szCs w:val="24"/>
        </w:rPr>
        <w:t xml:space="preserve">€ 100.000 </w:t>
      </w:r>
      <w:r w:rsidR="00D907F1" w:rsidRPr="00EC01F6">
        <w:rPr>
          <w:rFonts w:ascii="Times New Roman" w:hAnsi="Times New Roman" w:cs="Times New Roman"/>
          <w:sz w:val="24"/>
          <w:szCs w:val="24"/>
        </w:rPr>
        <w:t>winstaandeel € 50.000 onttrekt, vindt de belastingheffing in het nieuwe systeem als volgt plaats. In fase 1 wordt (15% van € 68.500 plus 27,5% van € 31.500</w:t>
      </w:r>
      <w:r w:rsidR="0018132C" w:rsidRPr="00EC01F6">
        <w:rPr>
          <w:rFonts w:ascii="Times New Roman" w:hAnsi="Times New Roman" w:cs="Times New Roman"/>
          <w:sz w:val="24"/>
          <w:szCs w:val="24"/>
        </w:rPr>
        <w:t>=</w:t>
      </w:r>
      <w:r w:rsidR="00D907F1" w:rsidRPr="00EC01F6">
        <w:rPr>
          <w:rFonts w:ascii="Times New Roman" w:hAnsi="Times New Roman" w:cs="Times New Roman"/>
          <w:sz w:val="24"/>
          <w:szCs w:val="24"/>
        </w:rPr>
        <w:t xml:space="preserve">) € 18.937,50 belasting geheven op het niveau van de vennootschap </w:t>
      </w:r>
      <w:r w:rsidRPr="00EC01F6">
        <w:rPr>
          <w:rFonts w:ascii="Times New Roman" w:hAnsi="Times New Roman" w:cs="Times New Roman"/>
          <w:sz w:val="24"/>
          <w:szCs w:val="24"/>
        </w:rPr>
        <w:t xml:space="preserve">en </w:t>
      </w:r>
      <w:r w:rsidR="00D907F1" w:rsidRPr="00EC01F6">
        <w:rPr>
          <w:rFonts w:ascii="Times New Roman" w:hAnsi="Times New Roman" w:cs="Times New Roman"/>
          <w:sz w:val="24"/>
          <w:szCs w:val="24"/>
        </w:rPr>
        <w:t>bij de vennoot in box 1 belast. Voor het gedeelte dat wordt onttrokken geldt dan een bijheffing van 22% (vergelijk met het ab-tarief</w:t>
      </w:r>
      <w:r w:rsidR="00D907F1" w:rsidRPr="00EC01F6">
        <w:rPr>
          <w:rStyle w:val="Voetnootmarkering"/>
          <w:rFonts w:ascii="Times New Roman" w:hAnsi="Times New Roman" w:cs="Times New Roman"/>
          <w:sz w:val="24"/>
          <w:szCs w:val="24"/>
        </w:rPr>
        <w:footnoteReference w:id="12"/>
      </w:r>
      <w:r w:rsidR="00D907F1" w:rsidRPr="00EC01F6">
        <w:rPr>
          <w:rFonts w:ascii="Times New Roman" w:hAnsi="Times New Roman" w:cs="Times New Roman"/>
          <w:sz w:val="24"/>
          <w:szCs w:val="24"/>
        </w:rPr>
        <w:t>) resulterend in (22% van € 50.000</w:t>
      </w:r>
      <w:r w:rsidR="0018132C" w:rsidRPr="00EC01F6">
        <w:rPr>
          <w:rFonts w:ascii="Times New Roman" w:hAnsi="Times New Roman" w:cs="Times New Roman"/>
          <w:sz w:val="24"/>
          <w:szCs w:val="24"/>
        </w:rPr>
        <w:t>=</w:t>
      </w:r>
      <w:r w:rsidR="00D907F1" w:rsidRPr="00EC01F6">
        <w:rPr>
          <w:rFonts w:ascii="Times New Roman" w:hAnsi="Times New Roman" w:cs="Times New Roman"/>
          <w:sz w:val="24"/>
          <w:szCs w:val="24"/>
        </w:rPr>
        <w:t>) € 11.000 belasting.</w:t>
      </w:r>
      <w:r w:rsidR="00820025" w:rsidRPr="00EC01F6">
        <w:rPr>
          <w:rFonts w:ascii="Times New Roman" w:hAnsi="Times New Roman" w:cs="Times New Roman"/>
          <w:sz w:val="24"/>
          <w:szCs w:val="24"/>
        </w:rPr>
        <w:t xml:space="preserve"> De overige € 50.000 komt in</w:t>
      </w:r>
      <w:r w:rsidRPr="00EC01F6">
        <w:rPr>
          <w:rFonts w:ascii="Times New Roman" w:hAnsi="Times New Roman" w:cs="Times New Roman"/>
          <w:sz w:val="24"/>
          <w:szCs w:val="24"/>
        </w:rPr>
        <w:t xml:space="preserve"> de</w:t>
      </w:r>
      <w:r w:rsidR="00820025" w:rsidRPr="00EC01F6">
        <w:rPr>
          <w:rFonts w:ascii="Times New Roman" w:hAnsi="Times New Roman" w:cs="Times New Roman"/>
          <w:sz w:val="24"/>
          <w:szCs w:val="24"/>
        </w:rPr>
        <w:t xml:space="preserve"> beclaimde winstreserve terecht.</w:t>
      </w:r>
    </w:p>
    <w:p w14:paraId="668353DC" w14:textId="58FFFF71" w:rsidR="00EC01F6" w:rsidRDefault="00820025"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Gezien de </w:t>
      </w:r>
      <w:r w:rsidR="008C7EDF" w:rsidRPr="00EC01F6">
        <w:rPr>
          <w:rFonts w:ascii="Times New Roman" w:hAnsi="Times New Roman" w:cs="Times New Roman"/>
          <w:sz w:val="24"/>
          <w:szCs w:val="24"/>
        </w:rPr>
        <w:t xml:space="preserve">beperkte </w:t>
      </w:r>
      <w:r w:rsidRPr="00EC01F6">
        <w:rPr>
          <w:rFonts w:ascii="Times New Roman" w:hAnsi="Times New Roman" w:cs="Times New Roman"/>
          <w:sz w:val="24"/>
          <w:szCs w:val="24"/>
        </w:rPr>
        <w:t xml:space="preserve">spreektijd kan de </w:t>
      </w:r>
      <w:r w:rsidR="00751263" w:rsidRPr="00EC01F6">
        <w:rPr>
          <w:rFonts w:ascii="Times New Roman" w:hAnsi="Times New Roman" w:cs="Times New Roman"/>
          <w:sz w:val="24"/>
          <w:szCs w:val="24"/>
        </w:rPr>
        <w:t>commissievoorzitter</w:t>
      </w:r>
      <w:r w:rsidRPr="00EC01F6">
        <w:rPr>
          <w:rFonts w:ascii="Times New Roman" w:hAnsi="Times New Roman" w:cs="Times New Roman"/>
          <w:sz w:val="24"/>
          <w:szCs w:val="24"/>
        </w:rPr>
        <w:t xml:space="preserve"> niet een voorbeeld geven van de belastingheffing bij inbreng in een personenvennootschap.</w:t>
      </w:r>
      <w:r w:rsidR="00751263" w:rsidRPr="00EC01F6">
        <w:rPr>
          <w:rStyle w:val="Voetnootmarkering"/>
          <w:rFonts w:ascii="Times New Roman" w:hAnsi="Times New Roman" w:cs="Times New Roman"/>
          <w:sz w:val="24"/>
          <w:szCs w:val="24"/>
        </w:rPr>
        <w:footnoteReference w:id="13"/>
      </w:r>
      <w:r w:rsidRPr="00EC01F6">
        <w:rPr>
          <w:rFonts w:ascii="Times New Roman" w:hAnsi="Times New Roman" w:cs="Times New Roman"/>
          <w:sz w:val="24"/>
          <w:szCs w:val="24"/>
        </w:rPr>
        <w:t xml:space="preserve"> Wel merkt hij op dat het alternatieve systeem als voordeel heeft dat inbreng tegen boekwaarde geen belastingheffing tot gevolg heeft in fase 1.</w:t>
      </w:r>
      <w:r w:rsidR="00751263" w:rsidRPr="00EC01F6">
        <w:rPr>
          <w:rFonts w:ascii="Times New Roman" w:hAnsi="Times New Roman" w:cs="Times New Roman"/>
          <w:sz w:val="24"/>
          <w:szCs w:val="24"/>
        </w:rPr>
        <w:t xml:space="preserve"> Uiteraard is er wel heffing in fase 2 als er afrekening plaatsvindt.</w:t>
      </w:r>
    </w:p>
    <w:p w14:paraId="6FF78477" w14:textId="77777777" w:rsidR="00EC01F6" w:rsidRDefault="00EC01F6">
      <w:pPr>
        <w:rPr>
          <w:rFonts w:ascii="Times New Roman" w:hAnsi="Times New Roman" w:cs="Times New Roman"/>
          <w:sz w:val="24"/>
          <w:szCs w:val="24"/>
        </w:rPr>
      </w:pPr>
      <w:r>
        <w:rPr>
          <w:rFonts w:ascii="Times New Roman" w:hAnsi="Times New Roman" w:cs="Times New Roman"/>
          <w:sz w:val="24"/>
          <w:szCs w:val="24"/>
        </w:rPr>
        <w:br w:type="page"/>
      </w:r>
    </w:p>
    <w:p w14:paraId="573513A9" w14:textId="77777777" w:rsidR="00751263" w:rsidRPr="00EC01F6" w:rsidRDefault="00506DB1" w:rsidP="00EC01F6">
      <w:pPr>
        <w:ind w:left="360"/>
        <w:rPr>
          <w:rFonts w:ascii="Times New Roman" w:hAnsi="Times New Roman" w:cs="Times New Roman"/>
          <w:i/>
          <w:sz w:val="24"/>
          <w:szCs w:val="24"/>
        </w:rPr>
      </w:pPr>
      <w:r w:rsidRPr="00EC01F6">
        <w:rPr>
          <w:rFonts w:ascii="Times New Roman" w:hAnsi="Times New Roman" w:cs="Times New Roman"/>
          <w:i/>
          <w:sz w:val="24"/>
          <w:szCs w:val="24"/>
        </w:rPr>
        <w:lastRenderedPageBreak/>
        <w:t xml:space="preserve">2.2.4 </w:t>
      </w:r>
      <w:r w:rsidR="00751263" w:rsidRPr="00EC01F6">
        <w:rPr>
          <w:rFonts w:ascii="Times New Roman" w:hAnsi="Times New Roman" w:cs="Times New Roman"/>
          <w:i/>
          <w:sz w:val="24"/>
          <w:szCs w:val="24"/>
        </w:rPr>
        <w:t>Belangrijkste voordelen</w:t>
      </w:r>
      <w:r w:rsidRPr="00EC01F6">
        <w:rPr>
          <w:rFonts w:ascii="Times New Roman" w:hAnsi="Times New Roman" w:cs="Times New Roman"/>
          <w:i/>
          <w:sz w:val="24"/>
          <w:szCs w:val="24"/>
        </w:rPr>
        <w:t xml:space="preserve"> alternatieve systeem</w:t>
      </w:r>
    </w:p>
    <w:p w14:paraId="2A401416" w14:textId="17022DCC" w:rsidR="00751263" w:rsidRPr="00EC01F6" w:rsidRDefault="00751263"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In het rapport worden maar liefst negen voordelen van het </w:t>
      </w:r>
      <w:r w:rsidR="00506DB1" w:rsidRPr="00EC01F6">
        <w:rPr>
          <w:rFonts w:ascii="Times New Roman" w:hAnsi="Times New Roman" w:cs="Times New Roman"/>
          <w:sz w:val="24"/>
          <w:szCs w:val="24"/>
        </w:rPr>
        <w:t>alternatieve systeem genoemd.</w:t>
      </w:r>
      <w:r w:rsidR="00F36BA3" w:rsidRPr="00EC01F6">
        <w:rPr>
          <w:rStyle w:val="Voetnootmarkering"/>
          <w:rFonts w:ascii="Times New Roman" w:hAnsi="Times New Roman" w:cs="Times New Roman"/>
          <w:sz w:val="24"/>
          <w:szCs w:val="24"/>
        </w:rPr>
        <w:footnoteReference w:id="14"/>
      </w:r>
      <w:r w:rsidR="00F36BA3" w:rsidRPr="00EC01F6">
        <w:rPr>
          <w:rFonts w:ascii="Times New Roman" w:hAnsi="Times New Roman" w:cs="Times New Roman"/>
          <w:sz w:val="24"/>
          <w:szCs w:val="24"/>
        </w:rPr>
        <w:t xml:space="preserve"> De belangrijkste daarvan zijn de volgende. Er wordt in de eerste plaats meer recht gedaan </w:t>
      </w:r>
      <w:r w:rsidR="006F30A1" w:rsidRPr="00EC01F6">
        <w:rPr>
          <w:rFonts w:ascii="Times New Roman" w:hAnsi="Times New Roman" w:cs="Times New Roman"/>
          <w:sz w:val="24"/>
          <w:szCs w:val="24"/>
        </w:rPr>
        <w:t xml:space="preserve">aan </w:t>
      </w:r>
      <w:r w:rsidR="00F36BA3" w:rsidRPr="00EC01F6">
        <w:rPr>
          <w:rFonts w:ascii="Times New Roman" w:hAnsi="Times New Roman" w:cs="Times New Roman"/>
          <w:sz w:val="24"/>
          <w:szCs w:val="24"/>
        </w:rPr>
        <w:t xml:space="preserve">de juridische verzelfstandiging van de personenvennootschappen. Verder komt in het alternatieve systeem </w:t>
      </w:r>
      <w:r w:rsidR="0033671B" w:rsidRPr="00EC01F6">
        <w:rPr>
          <w:rFonts w:ascii="Times New Roman" w:hAnsi="Times New Roman" w:cs="Times New Roman"/>
          <w:sz w:val="24"/>
          <w:szCs w:val="24"/>
        </w:rPr>
        <w:t>de</w:t>
      </w:r>
      <w:r w:rsidR="00F36BA3" w:rsidRPr="00EC01F6">
        <w:rPr>
          <w:rFonts w:ascii="Times New Roman" w:hAnsi="Times New Roman" w:cs="Times New Roman"/>
          <w:sz w:val="24"/>
          <w:szCs w:val="24"/>
        </w:rPr>
        <w:t xml:space="preserve"> draagkrachtgedacht</w:t>
      </w:r>
      <w:r w:rsidR="0033671B" w:rsidRPr="00EC01F6">
        <w:rPr>
          <w:rFonts w:ascii="Times New Roman" w:hAnsi="Times New Roman" w:cs="Times New Roman"/>
          <w:sz w:val="24"/>
          <w:szCs w:val="24"/>
        </w:rPr>
        <w:t>e</w:t>
      </w:r>
      <w:r w:rsidR="00F36BA3" w:rsidRPr="00EC01F6">
        <w:rPr>
          <w:rFonts w:ascii="Times New Roman" w:hAnsi="Times New Roman" w:cs="Times New Roman"/>
          <w:sz w:val="24"/>
          <w:szCs w:val="24"/>
        </w:rPr>
        <w:t xml:space="preserve"> beter tot uitdrukking. Rechtsvormwijzigingen worden voor wat betreft de inkomstenbelasting een stuk eenvoudiger. Daarnaast worden de belastindruk op winstinkomen en op arbeidsinkomen (nagenoeg) </w:t>
      </w:r>
      <w:r w:rsidR="00B51F26" w:rsidRPr="00EC01F6">
        <w:rPr>
          <w:rFonts w:ascii="Times New Roman" w:hAnsi="Times New Roman" w:cs="Times New Roman"/>
          <w:sz w:val="24"/>
          <w:szCs w:val="24"/>
        </w:rPr>
        <w:t>gelijkgetrokken</w:t>
      </w:r>
      <w:r w:rsidR="00F36BA3" w:rsidRPr="00EC01F6">
        <w:rPr>
          <w:rFonts w:ascii="Times New Roman" w:hAnsi="Times New Roman" w:cs="Times New Roman"/>
          <w:sz w:val="24"/>
          <w:szCs w:val="24"/>
        </w:rPr>
        <w:t>. Dit laatste is onder meer het gevolg van de voorgestelde afschaffing van de ondernemersfaciliteiten. Ten slotte noemt de commissievoorzitter dat een aanzienlijk aantal regelingen die aanknopen bij de subjectieve onderneming kan komen te vervallen.</w:t>
      </w:r>
    </w:p>
    <w:p w14:paraId="774F53B9" w14:textId="77777777" w:rsidR="00F36BA3" w:rsidRPr="00EC01F6" w:rsidRDefault="00F36BA3"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Het alternatieve systeem is volgens de commissievoorzitter meer dan het overwegen waard en kan tot de nodige versimpeling van de belastingheffing in box 1 leiden.</w:t>
      </w:r>
    </w:p>
    <w:p w14:paraId="394BE834" w14:textId="77777777" w:rsidR="00F36BA3" w:rsidRPr="00EC01F6" w:rsidRDefault="00404C07" w:rsidP="00EC01F6">
      <w:pPr>
        <w:ind w:left="360"/>
        <w:rPr>
          <w:rFonts w:ascii="Times New Roman" w:hAnsi="Times New Roman" w:cs="Times New Roman"/>
          <w:i/>
          <w:sz w:val="24"/>
          <w:szCs w:val="24"/>
        </w:rPr>
      </w:pPr>
      <w:r w:rsidRPr="00EC01F6">
        <w:rPr>
          <w:rFonts w:ascii="Times New Roman" w:hAnsi="Times New Roman" w:cs="Times New Roman"/>
          <w:i/>
          <w:sz w:val="24"/>
          <w:szCs w:val="24"/>
        </w:rPr>
        <w:t>2.3 Vennootschapsbelasting</w:t>
      </w:r>
    </w:p>
    <w:p w14:paraId="3017E071" w14:textId="77777777" w:rsidR="008A2932" w:rsidRPr="00EC01F6" w:rsidRDefault="008A2932"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2.3.1 </w:t>
      </w:r>
      <w:r w:rsidR="006F30A1" w:rsidRPr="00EC01F6">
        <w:rPr>
          <w:rFonts w:ascii="Times New Roman" w:hAnsi="Times New Roman" w:cs="Times New Roman"/>
          <w:i/>
          <w:sz w:val="24"/>
          <w:szCs w:val="24"/>
        </w:rPr>
        <w:t>I</w:t>
      </w:r>
      <w:r w:rsidRPr="00EC01F6">
        <w:rPr>
          <w:rFonts w:ascii="Times New Roman" w:hAnsi="Times New Roman" w:cs="Times New Roman"/>
          <w:i/>
          <w:sz w:val="24"/>
          <w:szCs w:val="24"/>
        </w:rPr>
        <w:t>nleiding</w:t>
      </w:r>
    </w:p>
    <w:p w14:paraId="1F0A28D1" w14:textId="28D34674" w:rsidR="00404C07" w:rsidRPr="00EC01F6" w:rsidRDefault="00404C07"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De commissievoorzitter vervolgt zijn </w:t>
      </w:r>
      <w:r w:rsidR="00195BFD" w:rsidRPr="00EC01F6">
        <w:rPr>
          <w:rFonts w:ascii="Times New Roman" w:hAnsi="Times New Roman" w:cs="Times New Roman"/>
          <w:sz w:val="24"/>
          <w:szCs w:val="24"/>
        </w:rPr>
        <w:t>inleiding</w:t>
      </w:r>
      <w:r w:rsidRPr="00EC01F6">
        <w:rPr>
          <w:rFonts w:ascii="Times New Roman" w:hAnsi="Times New Roman" w:cs="Times New Roman"/>
          <w:sz w:val="24"/>
          <w:szCs w:val="24"/>
        </w:rPr>
        <w:t xml:space="preserve"> met de </w:t>
      </w:r>
      <w:r w:rsidR="006D7BE4" w:rsidRPr="00EC01F6">
        <w:rPr>
          <w:rFonts w:ascii="Times New Roman" w:hAnsi="Times New Roman" w:cs="Times New Roman"/>
          <w:sz w:val="24"/>
          <w:szCs w:val="24"/>
        </w:rPr>
        <w:t xml:space="preserve">bevindingen en </w:t>
      </w:r>
      <w:r w:rsidR="00047225" w:rsidRPr="00EC01F6">
        <w:rPr>
          <w:rFonts w:ascii="Times New Roman" w:hAnsi="Times New Roman" w:cs="Times New Roman"/>
          <w:sz w:val="24"/>
          <w:szCs w:val="24"/>
        </w:rPr>
        <w:t xml:space="preserve">de </w:t>
      </w:r>
      <w:r w:rsidR="006D7BE4" w:rsidRPr="00EC01F6">
        <w:rPr>
          <w:rFonts w:ascii="Times New Roman" w:hAnsi="Times New Roman" w:cs="Times New Roman"/>
          <w:sz w:val="24"/>
          <w:szCs w:val="24"/>
        </w:rPr>
        <w:t>aanbevelingen ten aanzien van de vennootschapsbelasting. Ook hier hebben de auteurs S</w:t>
      </w:r>
      <w:r w:rsidR="006F30A1" w:rsidRPr="00EC01F6">
        <w:rPr>
          <w:rFonts w:ascii="Times New Roman" w:hAnsi="Times New Roman" w:cs="Times New Roman"/>
          <w:sz w:val="24"/>
          <w:szCs w:val="24"/>
        </w:rPr>
        <w:t xml:space="preserve">.A. </w:t>
      </w:r>
      <w:r w:rsidR="006D7BE4" w:rsidRPr="00EC01F6">
        <w:rPr>
          <w:rFonts w:ascii="Times New Roman" w:hAnsi="Times New Roman" w:cs="Times New Roman"/>
          <w:sz w:val="24"/>
          <w:szCs w:val="24"/>
        </w:rPr>
        <w:t>Stevens</w:t>
      </w:r>
      <w:r w:rsidR="006F30A1" w:rsidRPr="00EC01F6">
        <w:rPr>
          <w:rStyle w:val="Voetnootmarkering"/>
          <w:rFonts w:ascii="Times New Roman" w:hAnsi="Times New Roman" w:cs="Times New Roman"/>
          <w:sz w:val="24"/>
          <w:szCs w:val="24"/>
        </w:rPr>
        <w:footnoteReference w:id="15"/>
      </w:r>
      <w:r w:rsidR="006D7BE4" w:rsidRPr="00EC01F6">
        <w:rPr>
          <w:rFonts w:ascii="Times New Roman" w:hAnsi="Times New Roman" w:cs="Times New Roman"/>
          <w:sz w:val="24"/>
          <w:szCs w:val="24"/>
        </w:rPr>
        <w:t xml:space="preserve"> en </w:t>
      </w:r>
      <w:r w:rsidR="006F30A1" w:rsidRPr="00EC01F6">
        <w:rPr>
          <w:rFonts w:ascii="Times New Roman" w:hAnsi="Times New Roman" w:cs="Times New Roman"/>
          <w:sz w:val="24"/>
          <w:szCs w:val="24"/>
        </w:rPr>
        <w:t>P.J.</w:t>
      </w:r>
      <w:r w:rsidR="006D7BE4" w:rsidRPr="00EC01F6">
        <w:rPr>
          <w:rFonts w:ascii="Times New Roman" w:hAnsi="Times New Roman" w:cs="Times New Roman"/>
          <w:sz w:val="24"/>
          <w:szCs w:val="24"/>
        </w:rPr>
        <w:t xml:space="preserve"> Tuk</w:t>
      </w:r>
      <w:r w:rsidR="0060781A" w:rsidRPr="00EC01F6">
        <w:rPr>
          <w:rStyle w:val="Voetnootmarkering"/>
          <w:rFonts w:ascii="Times New Roman" w:hAnsi="Times New Roman" w:cs="Times New Roman"/>
          <w:sz w:val="24"/>
          <w:szCs w:val="24"/>
        </w:rPr>
        <w:footnoteReference w:id="16"/>
      </w:r>
      <w:r w:rsidR="006D7BE4" w:rsidRPr="00EC01F6">
        <w:rPr>
          <w:rFonts w:ascii="Times New Roman" w:hAnsi="Times New Roman" w:cs="Times New Roman"/>
          <w:sz w:val="24"/>
          <w:szCs w:val="24"/>
        </w:rPr>
        <w:t xml:space="preserve"> geconstateerd dat er een eenduidige grondslag ontbreekt voor de vennootschapsbelastingplicht van lichamen. Stevens en Tuk onderschrijven de bevinding van Doornebal en Van Kempen dat de ondernemingswinstbelasting </w:t>
      </w:r>
      <w:r w:rsidR="0020361C" w:rsidRPr="00EC01F6">
        <w:rPr>
          <w:rFonts w:ascii="Times New Roman" w:hAnsi="Times New Roman" w:cs="Times New Roman"/>
          <w:sz w:val="24"/>
          <w:szCs w:val="24"/>
        </w:rPr>
        <w:t>het na te streven ideaal is, maar r</w:t>
      </w:r>
      <w:r w:rsidR="00E727FF" w:rsidRPr="00EC01F6">
        <w:rPr>
          <w:rFonts w:ascii="Times New Roman" w:hAnsi="Times New Roman" w:cs="Times New Roman"/>
          <w:sz w:val="24"/>
          <w:szCs w:val="24"/>
        </w:rPr>
        <w:t>ei</w:t>
      </w:r>
      <w:r w:rsidR="0020361C" w:rsidRPr="00EC01F6">
        <w:rPr>
          <w:rFonts w:ascii="Times New Roman" w:hAnsi="Times New Roman" w:cs="Times New Roman"/>
          <w:sz w:val="24"/>
          <w:szCs w:val="24"/>
        </w:rPr>
        <w:t xml:space="preserve">ken nu </w:t>
      </w:r>
      <w:r w:rsidR="00E727FF" w:rsidRPr="00EC01F6">
        <w:rPr>
          <w:rFonts w:ascii="Times New Roman" w:hAnsi="Times New Roman" w:cs="Times New Roman"/>
          <w:sz w:val="24"/>
          <w:szCs w:val="24"/>
        </w:rPr>
        <w:t xml:space="preserve">reeds </w:t>
      </w:r>
      <w:r w:rsidR="0020361C" w:rsidRPr="00EC01F6">
        <w:rPr>
          <w:rFonts w:ascii="Times New Roman" w:hAnsi="Times New Roman" w:cs="Times New Roman"/>
          <w:sz w:val="24"/>
          <w:szCs w:val="24"/>
        </w:rPr>
        <w:t>een aantal wijzigingen in de vennootschapsbelasting aan die het huidige systeem kunnen verbeteren.</w:t>
      </w:r>
    </w:p>
    <w:p w14:paraId="63CCA4A1" w14:textId="77777777" w:rsidR="009064AC" w:rsidRPr="00EC01F6" w:rsidRDefault="0020361C"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Een belangrijke conclusie is dat de invoering van rechtspersoonlijkheid voor de personenvennootschappen in </w:t>
      </w:r>
      <w:r w:rsidR="00B51F26" w:rsidRPr="00EC01F6">
        <w:rPr>
          <w:rFonts w:ascii="Times New Roman" w:hAnsi="Times New Roman" w:cs="Times New Roman"/>
          <w:sz w:val="24"/>
          <w:szCs w:val="24"/>
        </w:rPr>
        <w:t>de</w:t>
      </w:r>
      <w:r w:rsidRPr="00EC01F6">
        <w:rPr>
          <w:rFonts w:ascii="Times New Roman" w:hAnsi="Times New Roman" w:cs="Times New Roman"/>
          <w:sz w:val="24"/>
          <w:szCs w:val="24"/>
        </w:rPr>
        <w:t xml:space="preserve"> voorgestelde </w:t>
      </w:r>
      <w:r w:rsidR="0003576F" w:rsidRPr="00EC01F6">
        <w:rPr>
          <w:rFonts w:ascii="Times New Roman" w:hAnsi="Times New Roman" w:cs="Times New Roman"/>
          <w:sz w:val="24"/>
          <w:szCs w:val="24"/>
        </w:rPr>
        <w:t>titel 7.13 BW</w:t>
      </w:r>
      <w:r w:rsidRPr="00EC01F6">
        <w:rPr>
          <w:rFonts w:ascii="Times New Roman" w:hAnsi="Times New Roman" w:cs="Times New Roman"/>
          <w:sz w:val="24"/>
          <w:szCs w:val="24"/>
        </w:rPr>
        <w:t xml:space="preserve"> geen reden is om de fiscale transparantie van die vennootschappen te schrappen. </w:t>
      </w:r>
    </w:p>
    <w:p w14:paraId="3CD49200" w14:textId="77777777" w:rsidR="008A2932" w:rsidRPr="00EC01F6" w:rsidRDefault="008A2932"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2.3.2 </w:t>
      </w:r>
      <w:r w:rsidR="004B0336" w:rsidRPr="00EC01F6">
        <w:rPr>
          <w:rFonts w:ascii="Times New Roman" w:hAnsi="Times New Roman" w:cs="Times New Roman"/>
          <w:i/>
          <w:sz w:val="24"/>
          <w:szCs w:val="24"/>
        </w:rPr>
        <w:t>S</w:t>
      </w:r>
      <w:r w:rsidRPr="00EC01F6">
        <w:rPr>
          <w:rFonts w:ascii="Times New Roman" w:hAnsi="Times New Roman" w:cs="Times New Roman"/>
          <w:i/>
          <w:sz w:val="24"/>
          <w:szCs w:val="24"/>
        </w:rPr>
        <w:t>troomlijning lijst vennootschapsbelastingplichtige lichamen</w:t>
      </w:r>
    </w:p>
    <w:p w14:paraId="41F1D7DA" w14:textId="350D1374" w:rsidR="009064AC" w:rsidRPr="00EC01F6" w:rsidRDefault="0020361C"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Wel moet de lijst van vennootschapsbelastingplichtige lichamen gestroomlijnd</w:t>
      </w:r>
      <w:r w:rsidR="0075500C" w:rsidRPr="00EC01F6">
        <w:rPr>
          <w:rFonts w:ascii="Times New Roman" w:hAnsi="Times New Roman" w:cs="Times New Roman"/>
          <w:sz w:val="24"/>
          <w:szCs w:val="24"/>
        </w:rPr>
        <w:t xml:space="preserve"> worden</w:t>
      </w:r>
      <w:r w:rsidR="004930E8" w:rsidRPr="00EC01F6">
        <w:rPr>
          <w:rFonts w:ascii="Times New Roman" w:hAnsi="Times New Roman" w:cs="Times New Roman"/>
          <w:sz w:val="24"/>
          <w:szCs w:val="24"/>
        </w:rPr>
        <w:t xml:space="preserve">. </w:t>
      </w:r>
      <w:r w:rsidR="0057713D" w:rsidRPr="00EC01F6">
        <w:rPr>
          <w:rFonts w:ascii="Times New Roman" w:hAnsi="Times New Roman" w:cs="Times New Roman"/>
          <w:sz w:val="24"/>
          <w:szCs w:val="24"/>
        </w:rPr>
        <w:t>De commissievoorzitter wijst op het verschil tussen de belastingplicht ingevolge art. 2 en art. 3 Wet V</w:t>
      </w:r>
      <w:r w:rsidR="00C53D5F" w:rsidRPr="00EC01F6">
        <w:rPr>
          <w:rFonts w:ascii="Times New Roman" w:hAnsi="Times New Roman" w:cs="Times New Roman"/>
          <w:sz w:val="24"/>
          <w:szCs w:val="24"/>
        </w:rPr>
        <w:t>p</w:t>
      </w:r>
      <w:r w:rsidR="0075500C" w:rsidRPr="00EC01F6">
        <w:rPr>
          <w:rFonts w:ascii="Times New Roman" w:hAnsi="Times New Roman" w:cs="Times New Roman"/>
          <w:sz w:val="24"/>
          <w:szCs w:val="24"/>
        </w:rPr>
        <w:t>B</w:t>
      </w:r>
      <w:r w:rsidR="0057713D" w:rsidRPr="00EC01F6">
        <w:rPr>
          <w:rFonts w:ascii="Times New Roman" w:hAnsi="Times New Roman" w:cs="Times New Roman"/>
          <w:sz w:val="24"/>
          <w:szCs w:val="24"/>
        </w:rPr>
        <w:t xml:space="preserve"> 1969. De twee belangrijkste verschillen zijn dat de wettekst voor de buitenlandse belastingplicht het woord ‘rechtspersoon’ bevat terwijl het artikel aangaande binnenlandse belastingplicht het woord ‘rechtspersoon’ niet </w:t>
      </w:r>
      <w:r w:rsidR="002C14B4" w:rsidRPr="00EC01F6">
        <w:rPr>
          <w:rFonts w:ascii="Times New Roman" w:hAnsi="Times New Roman" w:cs="Times New Roman"/>
          <w:sz w:val="24"/>
          <w:szCs w:val="24"/>
        </w:rPr>
        <w:t xml:space="preserve">als zelfstandige categorie </w:t>
      </w:r>
      <w:r w:rsidR="0057713D" w:rsidRPr="00EC01F6">
        <w:rPr>
          <w:rFonts w:ascii="Times New Roman" w:hAnsi="Times New Roman" w:cs="Times New Roman"/>
          <w:sz w:val="24"/>
          <w:szCs w:val="24"/>
        </w:rPr>
        <w:t>bevat.</w:t>
      </w:r>
      <w:r w:rsidR="00476508" w:rsidRPr="00EC01F6">
        <w:rPr>
          <w:rStyle w:val="Voetnootmarkering"/>
          <w:rFonts w:ascii="Times New Roman" w:hAnsi="Times New Roman" w:cs="Times New Roman"/>
          <w:sz w:val="24"/>
          <w:szCs w:val="24"/>
        </w:rPr>
        <w:footnoteReference w:id="17"/>
      </w:r>
      <w:r w:rsidR="0057713D" w:rsidRPr="00EC01F6">
        <w:rPr>
          <w:rFonts w:ascii="Times New Roman" w:hAnsi="Times New Roman" w:cs="Times New Roman"/>
          <w:sz w:val="24"/>
          <w:szCs w:val="24"/>
        </w:rPr>
        <w:t xml:space="preserve"> Het tweede verschil dat de commissievoorzitter benoemt is dat art. 3 Wet V</w:t>
      </w:r>
      <w:r w:rsidR="00FA2E3A" w:rsidRPr="00EC01F6">
        <w:rPr>
          <w:rFonts w:ascii="Times New Roman" w:hAnsi="Times New Roman" w:cs="Times New Roman"/>
          <w:sz w:val="24"/>
          <w:szCs w:val="24"/>
        </w:rPr>
        <w:t>p</w:t>
      </w:r>
      <w:r w:rsidR="0057713D" w:rsidRPr="00EC01F6">
        <w:rPr>
          <w:rFonts w:ascii="Times New Roman" w:hAnsi="Times New Roman" w:cs="Times New Roman"/>
          <w:sz w:val="24"/>
          <w:szCs w:val="24"/>
        </w:rPr>
        <w:t>B 1969 ook over ‘doelvermogens’ als mogelijke belastingplichtigen spreekt terwijl dat woord in art. 2 Wet V</w:t>
      </w:r>
      <w:r w:rsidR="00FA2E3A" w:rsidRPr="00EC01F6">
        <w:rPr>
          <w:rFonts w:ascii="Times New Roman" w:hAnsi="Times New Roman" w:cs="Times New Roman"/>
          <w:sz w:val="24"/>
          <w:szCs w:val="24"/>
        </w:rPr>
        <w:t>p</w:t>
      </w:r>
      <w:r w:rsidR="0057713D" w:rsidRPr="00EC01F6">
        <w:rPr>
          <w:rFonts w:ascii="Times New Roman" w:hAnsi="Times New Roman" w:cs="Times New Roman"/>
          <w:sz w:val="24"/>
          <w:szCs w:val="24"/>
        </w:rPr>
        <w:t>B 1969 ontbreekt.</w:t>
      </w:r>
    </w:p>
    <w:p w14:paraId="75F29577" w14:textId="5A4EB4C0" w:rsidR="00B851CD" w:rsidRPr="00EC01F6" w:rsidRDefault="00B851CD"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Het advies van </w:t>
      </w:r>
      <w:r w:rsidR="00581B03" w:rsidRPr="00EC01F6">
        <w:rPr>
          <w:rFonts w:ascii="Times New Roman" w:hAnsi="Times New Roman" w:cs="Times New Roman"/>
          <w:sz w:val="24"/>
          <w:szCs w:val="24"/>
        </w:rPr>
        <w:t>Stevens en Tuk is om in art. 2 Wet V</w:t>
      </w:r>
      <w:r w:rsidR="00C53D5F" w:rsidRPr="00EC01F6">
        <w:rPr>
          <w:rFonts w:ascii="Times New Roman" w:hAnsi="Times New Roman" w:cs="Times New Roman"/>
          <w:sz w:val="24"/>
          <w:szCs w:val="24"/>
        </w:rPr>
        <w:t>p</w:t>
      </w:r>
      <w:r w:rsidR="00581B03" w:rsidRPr="00EC01F6">
        <w:rPr>
          <w:rFonts w:ascii="Times New Roman" w:hAnsi="Times New Roman" w:cs="Times New Roman"/>
          <w:sz w:val="24"/>
          <w:szCs w:val="24"/>
        </w:rPr>
        <w:t xml:space="preserve">B 1969 ook het begrip ‘doelvermogens’ op te nemen. Daarnaast adviseren zij om de </w:t>
      </w:r>
      <w:r w:rsidR="00581B03" w:rsidRPr="00EC01F6">
        <w:rPr>
          <w:rFonts w:ascii="Times New Roman" w:hAnsi="Times New Roman" w:cs="Times New Roman"/>
          <w:i/>
          <w:sz w:val="24"/>
          <w:szCs w:val="24"/>
        </w:rPr>
        <w:t xml:space="preserve">corporate resemblance </w:t>
      </w:r>
      <w:r w:rsidR="00581B03" w:rsidRPr="00EC01F6">
        <w:rPr>
          <w:rFonts w:ascii="Times New Roman" w:hAnsi="Times New Roman" w:cs="Times New Roman"/>
          <w:sz w:val="24"/>
          <w:szCs w:val="24"/>
        </w:rPr>
        <w:t>methode die</w:t>
      </w:r>
      <w:r w:rsidR="00BF16BC" w:rsidRPr="00EC01F6">
        <w:rPr>
          <w:rFonts w:ascii="Times New Roman" w:hAnsi="Times New Roman" w:cs="Times New Roman"/>
          <w:sz w:val="24"/>
          <w:szCs w:val="24"/>
        </w:rPr>
        <w:t xml:space="preserve"> op grond van de jurisprudentie</w:t>
      </w:r>
      <w:r w:rsidR="00581B03" w:rsidRPr="00EC01F6">
        <w:rPr>
          <w:rFonts w:ascii="Times New Roman" w:hAnsi="Times New Roman" w:cs="Times New Roman"/>
          <w:sz w:val="24"/>
          <w:szCs w:val="24"/>
        </w:rPr>
        <w:t xml:space="preserve"> in zijn algemeenheid </w:t>
      </w:r>
      <w:r w:rsidR="00BF16BC" w:rsidRPr="00EC01F6">
        <w:rPr>
          <w:rFonts w:ascii="Times New Roman" w:hAnsi="Times New Roman" w:cs="Times New Roman"/>
          <w:sz w:val="24"/>
          <w:szCs w:val="24"/>
        </w:rPr>
        <w:t xml:space="preserve">voor buitenlandse samenwerkingsverbanden </w:t>
      </w:r>
      <w:r w:rsidR="00581B03" w:rsidRPr="00EC01F6">
        <w:rPr>
          <w:rFonts w:ascii="Times New Roman" w:hAnsi="Times New Roman" w:cs="Times New Roman"/>
          <w:sz w:val="24"/>
          <w:szCs w:val="24"/>
        </w:rPr>
        <w:t xml:space="preserve">geldt, </w:t>
      </w:r>
      <w:r w:rsidR="00581B03" w:rsidRPr="00EC01F6">
        <w:rPr>
          <w:rFonts w:ascii="Times New Roman" w:hAnsi="Times New Roman" w:cs="Times New Roman"/>
          <w:sz w:val="24"/>
          <w:szCs w:val="24"/>
        </w:rPr>
        <w:lastRenderedPageBreak/>
        <w:t>op te nemen in art. 3 Wet V</w:t>
      </w:r>
      <w:r w:rsidR="00C53D5F" w:rsidRPr="00EC01F6">
        <w:rPr>
          <w:rFonts w:ascii="Times New Roman" w:hAnsi="Times New Roman" w:cs="Times New Roman"/>
          <w:sz w:val="24"/>
          <w:szCs w:val="24"/>
        </w:rPr>
        <w:t>p</w:t>
      </w:r>
      <w:r w:rsidR="00581B03" w:rsidRPr="00EC01F6">
        <w:rPr>
          <w:rFonts w:ascii="Times New Roman" w:hAnsi="Times New Roman" w:cs="Times New Roman"/>
          <w:sz w:val="24"/>
          <w:szCs w:val="24"/>
        </w:rPr>
        <w:t>B 1969. Door middel van deze aanbevelingen zouden art</w:t>
      </w:r>
      <w:r w:rsidR="00AF7C14" w:rsidRPr="00EC01F6">
        <w:rPr>
          <w:rFonts w:ascii="Times New Roman" w:hAnsi="Times New Roman" w:cs="Times New Roman"/>
          <w:sz w:val="24"/>
          <w:szCs w:val="24"/>
        </w:rPr>
        <w:t>.</w:t>
      </w:r>
      <w:r w:rsidR="00581B03" w:rsidRPr="00EC01F6">
        <w:rPr>
          <w:rFonts w:ascii="Times New Roman" w:hAnsi="Times New Roman" w:cs="Times New Roman"/>
          <w:sz w:val="24"/>
          <w:szCs w:val="24"/>
        </w:rPr>
        <w:t xml:space="preserve"> 2 en</w:t>
      </w:r>
      <w:r w:rsidR="00AF7C14" w:rsidRPr="00EC01F6">
        <w:rPr>
          <w:rFonts w:ascii="Times New Roman" w:hAnsi="Times New Roman" w:cs="Times New Roman"/>
          <w:sz w:val="24"/>
          <w:szCs w:val="24"/>
        </w:rPr>
        <w:t xml:space="preserve"> art.</w:t>
      </w:r>
      <w:r w:rsidR="00581B03" w:rsidRPr="00EC01F6">
        <w:rPr>
          <w:rFonts w:ascii="Times New Roman" w:hAnsi="Times New Roman" w:cs="Times New Roman"/>
          <w:sz w:val="24"/>
          <w:szCs w:val="24"/>
        </w:rPr>
        <w:t xml:space="preserve"> 3 Wet V</w:t>
      </w:r>
      <w:r w:rsidR="00AF7C14" w:rsidRPr="00EC01F6">
        <w:rPr>
          <w:rFonts w:ascii="Times New Roman" w:hAnsi="Times New Roman" w:cs="Times New Roman"/>
          <w:sz w:val="24"/>
          <w:szCs w:val="24"/>
        </w:rPr>
        <w:t>p</w:t>
      </w:r>
      <w:r w:rsidR="00581B03" w:rsidRPr="00EC01F6">
        <w:rPr>
          <w:rFonts w:ascii="Times New Roman" w:hAnsi="Times New Roman" w:cs="Times New Roman"/>
          <w:sz w:val="24"/>
          <w:szCs w:val="24"/>
        </w:rPr>
        <w:t>B 1969 synchroon lopen.</w:t>
      </w:r>
    </w:p>
    <w:p w14:paraId="765CFD2C" w14:textId="1B958CE3" w:rsidR="00581B03" w:rsidRPr="00EC01F6" w:rsidRDefault="00581B03"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Er is één restcategorie: de buitenlandse rechtsvormen die geen </w:t>
      </w:r>
      <w:r w:rsidR="00B51F26" w:rsidRPr="00EC01F6">
        <w:rPr>
          <w:rFonts w:ascii="Times New Roman" w:hAnsi="Times New Roman" w:cs="Times New Roman"/>
          <w:sz w:val="24"/>
          <w:szCs w:val="24"/>
        </w:rPr>
        <w:t>Nederlands</w:t>
      </w:r>
      <w:r w:rsidRPr="00EC01F6">
        <w:rPr>
          <w:rFonts w:ascii="Times New Roman" w:hAnsi="Times New Roman" w:cs="Times New Roman"/>
          <w:sz w:val="24"/>
          <w:szCs w:val="24"/>
        </w:rPr>
        <w:t xml:space="preserve"> equivalent hebben, maar wel in Nederland zijn gevestigd. Een typisch voorbeeld daarvan is de Engelse LLP. De </w:t>
      </w:r>
      <w:r w:rsidR="00BF16BC" w:rsidRPr="00EC01F6">
        <w:rPr>
          <w:rFonts w:ascii="Times New Roman" w:hAnsi="Times New Roman" w:cs="Times New Roman"/>
          <w:sz w:val="24"/>
          <w:szCs w:val="24"/>
        </w:rPr>
        <w:t>auteurs van dit hoofdstuk hebben</w:t>
      </w:r>
      <w:r w:rsidRPr="00EC01F6">
        <w:rPr>
          <w:rFonts w:ascii="Times New Roman" w:hAnsi="Times New Roman" w:cs="Times New Roman"/>
          <w:sz w:val="24"/>
          <w:szCs w:val="24"/>
        </w:rPr>
        <w:t xml:space="preserve"> verschillende mogelijkheden bekeken en </w:t>
      </w:r>
      <w:r w:rsidR="00124EDD" w:rsidRPr="00EC01F6">
        <w:rPr>
          <w:rFonts w:ascii="Times New Roman" w:hAnsi="Times New Roman" w:cs="Times New Roman"/>
          <w:sz w:val="24"/>
          <w:szCs w:val="24"/>
        </w:rPr>
        <w:t>zijn</w:t>
      </w:r>
      <w:r w:rsidRPr="00EC01F6">
        <w:rPr>
          <w:rFonts w:ascii="Times New Roman" w:hAnsi="Times New Roman" w:cs="Times New Roman"/>
          <w:sz w:val="24"/>
          <w:szCs w:val="24"/>
        </w:rPr>
        <w:t xml:space="preserve"> uiteindelijk tot het advies gekomen deze categorie altijd als niet-transparant te kwalificeren</w:t>
      </w:r>
      <w:r w:rsidR="00554713" w:rsidRPr="00EC01F6">
        <w:rPr>
          <w:rFonts w:ascii="Times New Roman" w:hAnsi="Times New Roman" w:cs="Times New Roman"/>
          <w:sz w:val="24"/>
          <w:szCs w:val="24"/>
        </w:rPr>
        <w:t>, aldus nog steeds de commissievoorzitter.</w:t>
      </w:r>
    </w:p>
    <w:p w14:paraId="6869866E" w14:textId="77777777" w:rsidR="008A2932" w:rsidRPr="00EC01F6" w:rsidRDefault="008A2932"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2.3.3 </w:t>
      </w:r>
      <w:r w:rsidR="004B0336" w:rsidRPr="00EC01F6">
        <w:rPr>
          <w:rFonts w:ascii="Times New Roman" w:hAnsi="Times New Roman" w:cs="Times New Roman"/>
          <w:i/>
          <w:sz w:val="24"/>
          <w:szCs w:val="24"/>
        </w:rPr>
        <w:t>A</w:t>
      </w:r>
      <w:r w:rsidRPr="00EC01F6">
        <w:rPr>
          <w:rFonts w:ascii="Times New Roman" w:hAnsi="Times New Roman" w:cs="Times New Roman"/>
          <w:i/>
          <w:sz w:val="24"/>
          <w:szCs w:val="24"/>
        </w:rPr>
        <w:t>fschaffen van het overdraagbaarheidscriterium</w:t>
      </w:r>
    </w:p>
    <w:p w14:paraId="33571722" w14:textId="187912A7" w:rsidR="00B33966" w:rsidRPr="00EC01F6" w:rsidRDefault="00554713"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Het tweede voorstel met betrekking tot de vennootschapsbelasting</w:t>
      </w:r>
      <w:r w:rsidR="00B33966" w:rsidRPr="00EC01F6">
        <w:rPr>
          <w:rFonts w:ascii="Times New Roman" w:hAnsi="Times New Roman" w:cs="Times New Roman"/>
          <w:sz w:val="24"/>
          <w:szCs w:val="24"/>
        </w:rPr>
        <w:t xml:space="preserve"> is om de</w:t>
      </w:r>
      <w:r w:rsidR="0020361C" w:rsidRPr="00EC01F6">
        <w:rPr>
          <w:rFonts w:ascii="Times New Roman" w:hAnsi="Times New Roman" w:cs="Times New Roman"/>
          <w:sz w:val="24"/>
          <w:szCs w:val="24"/>
        </w:rPr>
        <w:t xml:space="preserve"> open</w:t>
      </w:r>
      <w:r w:rsidR="00874C59" w:rsidRPr="00EC01F6">
        <w:rPr>
          <w:rFonts w:ascii="Times New Roman" w:hAnsi="Times New Roman" w:cs="Times New Roman"/>
          <w:sz w:val="24"/>
          <w:szCs w:val="24"/>
        </w:rPr>
        <w:t xml:space="preserve"> </w:t>
      </w:r>
      <w:r w:rsidR="0020361C" w:rsidRPr="00EC01F6">
        <w:rPr>
          <w:rFonts w:ascii="Times New Roman" w:hAnsi="Times New Roman" w:cs="Times New Roman"/>
          <w:sz w:val="24"/>
          <w:szCs w:val="24"/>
        </w:rPr>
        <w:t>cv</w:t>
      </w:r>
      <w:r w:rsidR="00B33966" w:rsidRPr="00EC01F6">
        <w:rPr>
          <w:rFonts w:ascii="Times New Roman" w:hAnsi="Times New Roman" w:cs="Times New Roman"/>
          <w:sz w:val="24"/>
          <w:szCs w:val="24"/>
        </w:rPr>
        <w:t xml:space="preserve"> – of meer in het algemeen </w:t>
      </w:r>
      <w:r w:rsidR="0020361C" w:rsidRPr="00EC01F6">
        <w:rPr>
          <w:rFonts w:ascii="Times New Roman" w:hAnsi="Times New Roman" w:cs="Times New Roman"/>
          <w:sz w:val="24"/>
          <w:szCs w:val="24"/>
        </w:rPr>
        <w:t>het overdraagbaarheids</w:t>
      </w:r>
      <w:r w:rsidR="00B33966" w:rsidRPr="00EC01F6">
        <w:rPr>
          <w:rFonts w:ascii="Times New Roman" w:hAnsi="Times New Roman" w:cs="Times New Roman"/>
          <w:sz w:val="24"/>
          <w:szCs w:val="24"/>
        </w:rPr>
        <w:t>criterium –</w:t>
      </w:r>
      <w:r w:rsidR="0020361C" w:rsidRPr="00EC01F6">
        <w:rPr>
          <w:rFonts w:ascii="Times New Roman" w:hAnsi="Times New Roman" w:cs="Times New Roman"/>
          <w:sz w:val="24"/>
          <w:szCs w:val="24"/>
        </w:rPr>
        <w:t xml:space="preserve"> af</w:t>
      </w:r>
      <w:r w:rsidR="00B33966" w:rsidRPr="00EC01F6">
        <w:rPr>
          <w:rFonts w:ascii="Times New Roman" w:hAnsi="Times New Roman" w:cs="Times New Roman"/>
          <w:sz w:val="24"/>
          <w:szCs w:val="24"/>
        </w:rPr>
        <w:t xml:space="preserve"> te schaffen. Dit is uiteraard niet mogelijk zonder overgangsbepalingen. Afschaffing van de open-cv is te meer van belang omdat daarmee ook problemen in andere heffingswetten en in het internationale belastingrecht worden weggenomen. De afschaffing zal </w:t>
      </w:r>
      <w:r w:rsidR="00B51F26" w:rsidRPr="00EC01F6">
        <w:rPr>
          <w:rFonts w:ascii="Times New Roman" w:hAnsi="Times New Roman" w:cs="Times New Roman"/>
          <w:sz w:val="24"/>
          <w:szCs w:val="24"/>
        </w:rPr>
        <w:t>ervoor</w:t>
      </w:r>
      <w:r w:rsidR="00B33966" w:rsidRPr="00EC01F6">
        <w:rPr>
          <w:rFonts w:ascii="Times New Roman" w:hAnsi="Times New Roman" w:cs="Times New Roman"/>
          <w:sz w:val="24"/>
          <w:szCs w:val="24"/>
        </w:rPr>
        <w:t xml:space="preserve"> zorgen dat er vaker </w:t>
      </w:r>
      <w:r w:rsidR="00167275" w:rsidRPr="00EC01F6">
        <w:rPr>
          <w:rFonts w:ascii="Times New Roman" w:hAnsi="Times New Roman" w:cs="Times New Roman"/>
          <w:sz w:val="24"/>
          <w:szCs w:val="24"/>
        </w:rPr>
        <w:t>beter wordt aangesloten op de situatie zoals die in het buitenland het geval is.</w:t>
      </w:r>
    </w:p>
    <w:p w14:paraId="2F1F3FC8" w14:textId="37923574" w:rsidR="00167275" w:rsidRPr="00EC01F6" w:rsidRDefault="00CD1A7E" w:rsidP="00EC01F6">
      <w:pPr>
        <w:ind w:left="360"/>
        <w:rPr>
          <w:rFonts w:ascii="Times New Roman" w:hAnsi="Times New Roman" w:cs="Times New Roman"/>
          <w:i/>
          <w:sz w:val="24"/>
          <w:szCs w:val="24"/>
        </w:rPr>
      </w:pPr>
      <w:r w:rsidRPr="00EC01F6">
        <w:rPr>
          <w:rFonts w:ascii="Times New Roman" w:hAnsi="Times New Roman" w:cs="Times New Roman"/>
          <w:i/>
          <w:sz w:val="24"/>
          <w:szCs w:val="24"/>
        </w:rPr>
        <w:t>2.4</w:t>
      </w:r>
      <w:r w:rsidR="00870555" w:rsidRPr="00EC01F6">
        <w:rPr>
          <w:rFonts w:ascii="Times New Roman" w:hAnsi="Times New Roman" w:cs="Times New Roman"/>
          <w:i/>
          <w:sz w:val="24"/>
          <w:szCs w:val="24"/>
        </w:rPr>
        <w:t xml:space="preserve"> </w:t>
      </w:r>
      <w:r w:rsidRPr="00EC01F6">
        <w:rPr>
          <w:rFonts w:ascii="Times New Roman" w:hAnsi="Times New Roman" w:cs="Times New Roman"/>
          <w:i/>
          <w:sz w:val="24"/>
          <w:szCs w:val="24"/>
        </w:rPr>
        <w:t>Successiewet</w:t>
      </w:r>
      <w:r w:rsidR="00536D62" w:rsidRPr="00EC01F6">
        <w:rPr>
          <w:rFonts w:ascii="Times New Roman" w:hAnsi="Times New Roman" w:cs="Times New Roman"/>
          <w:i/>
          <w:sz w:val="24"/>
          <w:szCs w:val="24"/>
        </w:rPr>
        <w:t xml:space="preserve"> 1956</w:t>
      </w:r>
    </w:p>
    <w:p w14:paraId="5CDE999F" w14:textId="77777777" w:rsidR="000566D8" w:rsidRPr="00EC01F6" w:rsidRDefault="000566D8"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2.4.1 </w:t>
      </w:r>
      <w:r w:rsidR="004B0336" w:rsidRPr="00EC01F6">
        <w:rPr>
          <w:rFonts w:ascii="Times New Roman" w:hAnsi="Times New Roman" w:cs="Times New Roman"/>
          <w:i/>
          <w:sz w:val="24"/>
          <w:szCs w:val="24"/>
        </w:rPr>
        <w:t>K</w:t>
      </w:r>
      <w:r w:rsidRPr="00EC01F6">
        <w:rPr>
          <w:rFonts w:ascii="Times New Roman" w:hAnsi="Times New Roman" w:cs="Times New Roman"/>
          <w:i/>
          <w:sz w:val="24"/>
          <w:szCs w:val="24"/>
        </w:rPr>
        <w:t>nelpunten omtrent de bedrijfsopvol</w:t>
      </w:r>
      <w:r w:rsidR="00BE1AB4" w:rsidRPr="00EC01F6">
        <w:rPr>
          <w:rFonts w:ascii="Times New Roman" w:hAnsi="Times New Roman" w:cs="Times New Roman"/>
          <w:i/>
          <w:sz w:val="24"/>
          <w:szCs w:val="24"/>
        </w:rPr>
        <w:t>g</w:t>
      </w:r>
      <w:r w:rsidRPr="00EC01F6">
        <w:rPr>
          <w:rFonts w:ascii="Times New Roman" w:hAnsi="Times New Roman" w:cs="Times New Roman"/>
          <w:i/>
          <w:sz w:val="24"/>
          <w:szCs w:val="24"/>
        </w:rPr>
        <w:t>ingsregeling</w:t>
      </w:r>
    </w:p>
    <w:p w14:paraId="62B84AEA" w14:textId="1A70FD75" w:rsidR="00CD1A7E" w:rsidRPr="00EC01F6" w:rsidRDefault="00CD1A7E"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Het hoofdstuk over de Successiewet</w:t>
      </w:r>
      <w:r w:rsidR="00BF16BC" w:rsidRPr="00EC01F6">
        <w:rPr>
          <w:rFonts w:ascii="Times New Roman" w:hAnsi="Times New Roman" w:cs="Times New Roman"/>
          <w:sz w:val="24"/>
          <w:szCs w:val="24"/>
        </w:rPr>
        <w:t xml:space="preserve"> </w:t>
      </w:r>
      <w:r w:rsidR="00536D62" w:rsidRPr="00EC01F6">
        <w:rPr>
          <w:rFonts w:ascii="Times New Roman" w:hAnsi="Times New Roman" w:cs="Times New Roman"/>
          <w:sz w:val="24"/>
          <w:szCs w:val="24"/>
        </w:rPr>
        <w:t xml:space="preserve">1956 </w:t>
      </w:r>
      <w:r w:rsidRPr="00EC01F6">
        <w:rPr>
          <w:rFonts w:ascii="Times New Roman" w:hAnsi="Times New Roman" w:cs="Times New Roman"/>
          <w:sz w:val="24"/>
          <w:szCs w:val="24"/>
        </w:rPr>
        <w:t>is geschreven door Idsinga</w:t>
      </w:r>
      <w:r w:rsidRPr="00EC01F6">
        <w:rPr>
          <w:rStyle w:val="Voetnootmarkering"/>
          <w:rFonts w:ascii="Times New Roman" w:hAnsi="Times New Roman" w:cs="Times New Roman"/>
          <w:sz w:val="24"/>
          <w:szCs w:val="24"/>
        </w:rPr>
        <w:footnoteReference w:id="18"/>
      </w:r>
      <w:r w:rsidRPr="00EC01F6">
        <w:rPr>
          <w:rFonts w:ascii="Times New Roman" w:hAnsi="Times New Roman" w:cs="Times New Roman"/>
          <w:sz w:val="24"/>
          <w:szCs w:val="24"/>
        </w:rPr>
        <w:t>. Het belangrijkste knelpunt dat in het rapport naar voren komt</w:t>
      </w:r>
      <w:r w:rsidR="00502C21">
        <w:rPr>
          <w:rFonts w:ascii="Times New Roman" w:hAnsi="Times New Roman" w:cs="Times New Roman"/>
          <w:sz w:val="24"/>
          <w:szCs w:val="24"/>
        </w:rPr>
        <w:t>,</w:t>
      </w:r>
      <w:r w:rsidRPr="00EC01F6">
        <w:rPr>
          <w:rFonts w:ascii="Times New Roman" w:hAnsi="Times New Roman" w:cs="Times New Roman"/>
          <w:sz w:val="24"/>
          <w:szCs w:val="24"/>
        </w:rPr>
        <w:t xml:space="preserve"> is de toepassing van de bedrijfsopvolgingsfaciliteit</w:t>
      </w:r>
      <w:r w:rsidRPr="00EC01F6">
        <w:rPr>
          <w:rStyle w:val="Voetnootmarkering"/>
          <w:rFonts w:ascii="Times New Roman" w:hAnsi="Times New Roman" w:cs="Times New Roman"/>
          <w:sz w:val="24"/>
          <w:szCs w:val="24"/>
        </w:rPr>
        <w:footnoteReference w:id="19"/>
      </w:r>
      <w:r w:rsidRPr="00EC01F6">
        <w:rPr>
          <w:rFonts w:ascii="Times New Roman" w:hAnsi="Times New Roman" w:cs="Times New Roman"/>
          <w:sz w:val="24"/>
          <w:szCs w:val="24"/>
        </w:rPr>
        <w:t xml:space="preserve"> op personenvennootschappen.</w:t>
      </w:r>
    </w:p>
    <w:p w14:paraId="531EF143" w14:textId="77777777" w:rsidR="000566D8" w:rsidRPr="00EC01F6" w:rsidRDefault="000566D8"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2.4.2 </w:t>
      </w:r>
      <w:r w:rsidR="004B0336" w:rsidRPr="00EC01F6">
        <w:rPr>
          <w:rFonts w:ascii="Times New Roman" w:hAnsi="Times New Roman" w:cs="Times New Roman"/>
          <w:i/>
          <w:sz w:val="24"/>
          <w:szCs w:val="24"/>
        </w:rPr>
        <w:t>C</w:t>
      </w:r>
      <w:r w:rsidRPr="00EC01F6">
        <w:rPr>
          <w:rFonts w:ascii="Times New Roman" w:hAnsi="Times New Roman" w:cs="Times New Roman"/>
          <w:i/>
          <w:sz w:val="24"/>
          <w:szCs w:val="24"/>
        </w:rPr>
        <w:t>ommanditaire vennoot</w:t>
      </w:r>
    </w:p>
    <w:p w14:paraId="651A73A6" w14:textId="725630F9" w:rsidR="00CD1A7E" w:rsidRPr="00EC01F6" w:rsidRDefault="00CD1A7E"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Het eerste knelpunt is dat de commanditaire vennoot wordt uitgesloten van de bedrijfsopvolgingsfaciliteit terwijl daar geen goede </w:t>
      </w:r>
      <w:r w:rsidR="00BF16BC" w:rsidRPr="00EC01F6">
        <w:rPr>
          <w:rFonts w:ascii="Times New Roman" w:hAnsi="Times New Roman" w:cs="Times New Roman"/>
          <w:sz w:val="24"/>
          <w:szCs w:val="24"/>
        </w:rPr>
        <w:t>reden</w:t>
      </w:r>
      <w:r w:rsidRPr="00EC01F6">
        <w:rPr>
          <w:rFonts w:ascii="Times New Roman" w:hAnsi="Times New Roman" w:cs="Times New Roman"/>
          <w:sz w:val="24"/>
          <w:szCs w:val="24"/>
        </w:rPr>
        <w:t xml:space="preserve"> voor is. Dus stelt </w:t>
      </w:r>
      <w:r w:rsidR="00890A4C" w:rsidRPr="00EC01F6">
        <w:rPr>
          <w:rFonts w:ascii="Times New Roman" w:hAnsi="Times New Roman" w:cs="Times New Roman"/>
          <w:sz w:val="24"/>
          <w:szCs w:val="24"/>
        </w:rPr>
        <w:t xml:space="preserve">de </w:t>
      </w:r>
      <w:r w:rsidRPr="00EC01F6">
        <w:rPr>
          <w:rFonts w:ascii="Times New Roman" w:hAnsi="Times New Roman" w:cs="Times New Roman"/>
          <w:sz w:val="24"/>
          <w:szCs w:val="24"/>
        </w:rPr>
        <w:t>commissie voor om deze uitzondering weg te nemen en de commanditaire vennoten op dit punt gelijk te behandelen als andere vennoten.</w:t>
      </w:r>
    </w:p>
    <w:p w14:paraId="42D39F1D" w14:textId="77777777" w:rsidR="000566D8" w:rsidRPr="00EC01F6" w:rsidRDefault="000566D8"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2.4.3 </w:t>
      </w:r>
      <w:r w:rsidR="004B0336" w:rsidRPr="00EC01F6">
        <w:rPr>
          <w:rFonts w:ascii="Times New Roman" w:hAnsi="Times New Roman" w:cs="Times New Roman"/>
          <w:i/>
          <w:sz w:val="24"/>
          <w:szCs w:val="24"/>
        </w:rPr>
        <w:t>B</w:t>
      </w:r>
      <w:r w:rsidRPr="00EC01F6">
        <w:rPr>
          <w:rFonts w:ascii="Times New Roman" w:hAnsi="Times New Roman" w:cs="Times New Roman"/>
          <w:i/>
          <w:sz w:val="24"/>
          <w:szCs w:val="24"/>
        </w:rPr>
        <w:t>uitenvennootschappelijk ondernemingsvermogen</w:t>
      </w:r>
    </w:p>
    <w:p w14:paraId="4B8C0662" w14:textId="6FA1C29B" w:rsidR="00CD1A7E" w:rsidRPr="00EC01F6" w:rsidRDefault="00CD1A7E"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Daarnaast </w:t>
      </w:r>
      <w:r w:rsidR="00BF16BC" w:rsidRPr="00EC01F6">
        <w:rPr>
          <w:rFonts w:ascii="Times New Roman" w:hAnsi="Times New Roman" w:cs="Times New Roman"/>
          <w:sz w:val="24"/>
          <w:szCs w:val="24"/>
        </w:rPr>
        <w:t>bestaat</w:t>
      </w:r>
      <w:r w:rsidRPr="00EC01F6">
        <w:rPr>
          <w:rFonts w:ascii="Times New Roman" w:hAnsi="Times New Roman" w:cs="Times New Roman"/>
          <w:sz w:val="24"/>
          <w:szCs w:val="24"/>
        </w:rPr>
        <w:t xml:space="preserve"> er een aantal knelpunten met betrekking tot het buitenvennootschappelijke ondernemingsvermogen.</w:t>
      </w:r>
      <w:r w:rsidR="00D47DEC" w:rsidRPr="00EC01F6">
        <w:rPr>
          <w:rFonts w:ascii="Times New Roman" w:hAnsi="Times New Roman" w:cs="Times New Roman"/>
          <w:sz w:val="24"/>
          <w:szCs w:val="24"/>
        </w:rPr>
        <w:t xml:space="preserve"> De 100%-vrijstelling op grond van de bedrijfsopvolgingsfaciliteit geldt </w:t>
      </w:r>
      <w:r w:rsidR="00980971" w:rsidRPr="00EC01F6">
        <w:rPr>
          <w:rFonts w:ascii="Times New Roman" w:hAnsi="Times New Roman" w:cs="Times New Roman"/>
          <w:sz w:val="24"/>
          <w:szCs w:val="24"/>
        </w:rPr>
        <w:t xml:space="preserve">in het geval van buitenvennootschappelijk ondernemingsvermogen alleen voor vastgoed. Ook hier is geen goede verklaring voor. Daarom is het voorstel van de commissie om de vrijstelling uit </w:t>
      </w:r>
      <w:r w:rsidR="00684E27" w:rsidRPr="00EC01F6">
        <w:rPr>
          <w:rFonts w:ascii="Times New Roman" w:hAnsi="Times New Roman" w:cs="Times New Roman"/>
          <w:sz w:val="24"/>
          <w:szCs w:val="24"/>
        </w:rPr>
        <w:t xml:space="preserve">te </w:t>
      </w:r>
      <w:r w:rsidR="00980971" w:rsidRPr="00EC01F6">
        <w:rPr>
          <w:rFonts w:ascii="Times New Roman" w:hAnsi="Times New Roman" w:cs="Times New Roman"/>
          <w:sz w:val="24"/>
          <w:szCs w:val="24"/>
        </w:rPr>
        <w:t>breiden en van toepassing te laten zijn op het gehele buitenvennootschappelijke ondernemingsvermogen.</w:t>
      </w:r>
    </w:p>
    <w:p w14:paraId="55DDB830" w14:textId="77777777" w:rsidR="000566D8" w:rsidRPr="00EC01F6" w:rsidRDefault="000566D8"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2.4.4 </w:t>
      </w:r>
      <w:r w:rsidR="004B0336" w:rsidRPr="00EC01F6">
        <w:rPr>
          <w:rFonts w:ascii="Times New Roman" w:hAnsi="Times New Roman" w:cs="Times New Roman"/>
          <w:i/>
          <w:sz w:val="24"/>
          <w:szCs w:val="24"/>
        </w:rPr>
        <w:t>K</w:t>
      </w:r>
      <w:r w:rsidRPr="00EC01F6">
        <w:rPr>
          <w:rFonts w:ascii="Times New Roman" w:hAnsi="Times New Roman" w:cs="Times New Roman"/>
          <w:i/>
          <w:sz w:val="24"/>
          <w:szCs w:val="24"/>
        </w:rPr>
        <w:t>ring van verwanten</w:t>
      </w:r>
    </w:p>
    <w:p w14:paraId="35EFFA6E" w14:textId="77777777" w:rsidR="00980971" w:rsidRPr="00EC01F6" w:rsidRDefault="00980971"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Verder is er de kwestie van </w:t>
      </w:r>
      <w:r w:rsidR="008313FB" w:rsidRPr="00EC01F6">
        <w:rPr>
          <w:rFonts w:ascii="Times New Roman" w:hAnsi="Times New Roman" w:cs="Times New Roman"/>
          <w:sz w:val="24"/>
          <w:szCs w:val="24"/>
        </w:rPr>
        <w:t xml:space="preserve">de kring van verwanten bij </w:t>
      </w:r>
      <w:r w:rsidRPr="00EC01F6">
        <w:rPr>
          <w:rFonts w:ascii="Times New Roman" w:hAnsi="Times New Roman" w:cs="Times New Roman"/>
          <w:sz w:val="24"/>
          <w:szCs w:val="24"/>
        </w:rPr>
        <w:t>vermogensbedingen</w:t>
      </w:r>
      <w:r w:rsidR="008313FB" w:rsidRPr="00EC01F6">
        <w:rPr>
          <w:rStyle w:val="Voetnootmarkering"/>
          <w:rFonts w:ascii="Times New Roman" w:hAnsi="Times New Roman" w:cs="Times New Roman"/>
          <w:sz w:val="24"/>
          <w:szCs w:val="24"/>
        </w:rPr>
        <w:footnoteReference w:id="20"/>
      </w:r>
      <w:r w:rsidR="006E0FC9" w:rsidRPr="00EC01F6">
        <w:rPr>
          <w:rFonts w:ascii="Times New Roman" w:hAnsi="Times New Roman" w:cs="Times New Roman"/>
          <w:sz w:val="24"/>
          <w:szCs w:val="24"/>
        </w:rPr>
        <w:t xml:space="preserve">. De beperking tot verwanten is niet logisch en </w:t>
      </w:r>
      <w:r w:rsidR="00013AF5" w:rsidRPr="00EC01F6">
        <w:rPr>
          <w:rFonts w:ascii="Times New Roman" w:hAnsi="Times New Roman" w:cs="Times New Roman"/>
          <w:sz w:val="24"/>
          <w:szCs w:val="24"/>
        </w:rPr>
        <w:t xml:space="preserve">het </w:t>
      </w:r>
      <w:r w:rsidR="006E0FC9" w:rsidRPr="00EC01F6">
        <w:rPr>
          <w:rFonts w:ascii="Times New Roman" w:hAnsi="Times New Roman" w:cs="Times New Roman"/>
          <w:sz w:val="24"/>
          <w:szCs w:val="24"/>
        </w:rPr>
        <w:t>voorstel</w:t>
      </w:r>
      <w:r w:rsidR="00013AF5" w:rsidRPr="00EC01F6">
        <w:rPr>
          <w:rFonts w:ascii="Times New Roman" w:hAnsi="Times New Roman" w:cs="Times New Roman"/>
          <w:sz w:val="24"/>
          <w:szCs w:val="24"/>
        </w:rPr>
        <w:t xml:space="preserve"> van </w:t>
      </w:r>
      <w:r w:rsidR="000566D8" w:rsidRPr="00EC01F6">
        <w:rPr>
          <w:rFonts w:ascii="Times New Roman" w:hAnsi="Times New Roman" w:cs="Times New Roman"/>
          <w:sz w:val="24"/>
          <w:szCs w:val="24"/>
        </w:rPr>
        <w:t xml:space="preserve">Idsinga </w:t>
      </w:r>
      <w:r w:rsidR="006E0FC9" w:rsidRPr="00EC01F6">
        <w:rPr>
          <w:rFonts w:ascii="Times New Roman" w:hAnsi="Times New Roman" w:cs="Times New Roman"/>
          <w:sz w:val="24"/>
          <w:szCs w:val="24"/>
        </w:rPr>
        <w:t xml:space="preserve">is dan ook om </w:t>
      </w:r>
      <w:r w:rsidR="000566D8" w:rsidRPr="00EC01F6">
        <w:rPr>
          <w:rFonts w:ascii="Times New Roman" w:hAnsi="Times New Roman" w:cs="Times New Roman"/>
          <w:sz w:val="24"/>
          <w:szCs w:val="24"/>
        </w:rPr>
        <w:t>het onderscheid tussen verkrijging door de kring van verwanten en door derden op te heffen.</w:t>
      </w:r>
    </w:p>
    <w:p w14:paraId="52672481" w14:textId="77777777" w:rsidR="000566D8" w:rsidRPr="00EC01F6" w:rsidRDefault="000566D8" w:rsidP="00EC01F6">
      <w:pPr>
        <w:ind w:left="360"/>
        <w:rPr>
          <w:rFonts w:ascii="Times New Roman" w:hAnsi="Times New Roman" w:cs="Times New Roman"/>
          <w:i/>
          <w:sz w:val="24"/>
          <w:szCs w:val="24"/>
        </w:rPr>
      </w:pPr>
      <w:r w:rsidRPr="00EC01F6">
        <w:rPr>
          <w:rFonts w:ascii="Times New Roman" w:hAnsi="Times New Roman" w:cs="Times New Roman"/>
          <w:i/>
          <w:sz w:val="24"/>
          <w:szCs w:val="24"/>
        </w:rPr>
        <w:lastRenderedPageBreak/>
        <w:t xml:space="preserve">2.4.5 </w:t>
      </w:r>
      <w:r w:rsidR="004B0336" w:rsidRPr="00EC01F6">
        <w:rPr>
          <w:rFonts w:ascii="Times New Roman" w:hAnsi="Times New Roman" w:cs="Times New Roman"/>
          <w:i/>
          <w:sz w:val="24"/>
          <w:szCs w:val="24"/>
        </w:rPr>
        <w:t>I</w:t>
      </w:r>
      <w:r w:rsidR="009245E0" w:rsidRPr="00EC01F6">
        <w:rPr>
          <w:rFonts w:ascii="Times New Roman" w:hAnsi="Times New Roman" w:cs="Times New Roman"/>
          <w:i/>
          <w:sz w:val="24"/>
          <w:szCs w:val="24"/>
        </w:rPr>
        <w:t>nternationaal</w:t>
      </w:r>
    </w:p>
    <w:p w14:paraId="59F03AD5" w14:textId="255237AC" w:rsidR="000566D8" w:rsidRPr="00EC01F6" w:rsidRDefault="000566D8"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Ten slotte stipt de commissievoorzitter de knelpunten aan die optreden bij grensoverschrijdende situaties. In de </w:t>
      </w:r>
      <w:r w:rsidR="000F681E" w:rsidRPr="00EC01F6">
        <w:rPr>
          <w:rFonts w:ascii="Times New Roman" w:hAnsi="Times New Roman" w:cs="Times New Roman"/>
          <w:sz w:val="24"/>
          <w:szCs w:val="24"/>
        </w:rPr>
        <w:t>S</w:t>
      </w:r>
      <w:r w:rsidRPr="00EC01F6">
        <w:rPr>
          <w:rFonts w:ascii="Times New Roman" w:hAnsi="Times New Roman" w:cs="Times New Roman"/>
          <w:sz w:val="24"/>
          <w:szCs w:val="24"/>
        </w:rPr>
        <w:t xml:space="preserve">uccessiewet </w:t>
      </w:r>
      <w:r w:rsidR="000F681E" w:rsidRPr="00EC01F6">
        <w:rPr>
          <w:rFonts w:ascii="Times New Roman" w:hAnsi="Times New Roman" w:cs="Times New Roman"/>
          <w:sz w:val="24"/>
          <w:szCs w:val="24"/>
        </w:rPr>
        <w:t xml:space="preserve">1956 </w:t>
      </w:r>
      <w:r w:rsidRPr="00EC01F6">
        <w:rPr>
          <w:rFonts w:ascii="Times New Roman" w:hAnsi="Times New Roman" w:cs="Times New Roman"/>
          <w:sz w:val="24"/>
          <w:szCs w:val="24"/>
        </w:rPr>
        <w:t xml:space="preserve">is </w:t>
      </w:r>
      <w:r w:rsidR="00890A4C" w:rsidRPr="00EC01F6">
        <w:rPr>
          <w:rFonts w:ascii="Times New Roman" w:hAnsi="Times New Roman" w:cs="Times New Roman"/>
          <w:sz w:val="24"/>
          <w:szCs w:val="24"/>
        </w:rPr>
        <w:t xml:space="preserve">er </w:t>
      </w:r>
      <w:r w:rsidRPr="00EC01F6">
        <w:rPr>
          <w:rFonts w:ascii="Times New Roman" w:hAnsi="Times New Roman" w:cs="Times New Roman"/>
          <w:sz w:val="24"/>
          <w:szCs w:val="24"/>
        </w:rPr>
        <w:t xml:space="preserve">geen </w:t>
      </w:r>
      <w:r w:rsidR="00BF16BC" w:rsidRPr="00EC01F6">
        <w:rPr>
          <w:rFonts w:ascii="Times New Roman" w:hAnsi="Times New Roman" w:cs="Times New Roman"/>
          <w:sz w:val="24"/>
          <w:szCs w:val="24"/>
        </w:rPr>
        <w:t>classificatie</w:t>
      </w:r>
      <w:r w:rsidRPr="00EC01F6">
        <w:rPr>
          <w:rFonts w:ascii="Times New Roman" w:hAnsi="Times New Roman" w:cs="Times New Roman"/>
          <w:sz w:val="24"/>
          <w:szCs w:val="24"/>
        </w:rPr>
        <w:t>regeling voor buitenlandse lichamen. Het kwalificatiebesluit</w:t>
      </w:r>
      <w:r w:rsidR="00AC1538" w:rsidRPr="00EC01F6">
        <w:rPr>
          <w:rStyle w:val="Voetnootmarkering"/>
          <w:rFonts w:ascii="Times New Roman" w:hAnsi="Times New Roman" w:cs="Times New Roman"/>
          <w:sz w:val="24"/>
          <w:szCs w:val="24"/>
        </w:rPr>
        <w:footnoteReference w:id="21"/>
      </w:r>
      <w:r w:rsidRPr="00EC01F6">
        <w:rPr>
          <w:rFonts w:ascii="Times New Roman" w:hAnsi="Times New Roman" w:cs="Times New Roman"/>
          <w:sz w:val="24"/>
          <w:szCs w:val="24"/>
        </w:rPr>
        <w:t xml:space="preserve"> geldt namelijk niet – althans niet naar de letter van het besluit – voor de </w:t>
      </w:r>
      <w:r w:rsidR="00536D62" w:rsidRPr="00EC01F6">
        <w:rPr>
          <w:rFonts w:ascii="Times New Roman" w:hAnsi="Times New Roman" w:cs="Times New Roman"/>
          <w:sz w:val="24"/>
          <w:szCs w:val="24"/>
        </w:rPr>
        <w:t>S</w:t>
      </w:r>
      <w:r w:rsidRPr="00EC01F6">
        <w:rPr>
          <w:rFonts w:ascii="Times New Roman" w:hAnsi="Times New Roman" w:cs="Times New Roman"/>
          <w:sz w:val="24"/>
          <w:szCs w:val="24"/>
        </w:rPr>
        <w:t>uccessiewet</w:t>
      </w:r>
      <w:r w:rsidR="00536D62" w:rsidRPr="00EC01F6">
        <w:rPr>
          <w:rFonts w:ascii="Times New Roman" w:hAnsi="Times New Roman" w:cs="Times New Roman"/>
          <w:sz w:val="24"/>
          <w:szCs w:val="24"/>
        </w:rPr>
        <w:t xml:space="preserve"> 1956</w:t>
      </w:r>
      <w:r w:rsidRPr="00EC01F6">
        <w:rPr>
          <w:rFonts w:ascii="Times New Roman" w:hAnsi="Times New Roman" w:cs="Times New Roman"/>
          <w:sz w:val="24"/>
          <w:szCs w:val="24"/>
        </w:rPr>
        <w:t xml:space="preserve">. </w:t>
      </w:r>
      <w:r w:rsidR="00063EEA" w:rsidRPr="00EC01F6">
        <w:rPr>
          <w:rFonts w:ascii="Times New Roman" w:hAnsi="Times New Roman" w:cs="Times New Roman"/>
          <w:sz w:val="24"/>
          <w:szCs w:val="24"/>
        </w:rPr>
        <w:t>Het voorstel is om deze leemte weg te nemen en het kwalificatiebesluit ook van toepassing te verklaren voor de schenk- en erfbelasting.</w:t>
      </w:r>
    </w:p>
    <w:p w14:paraId="700DF2A4" w14:textId="77777777" w:rsidR="00063EEA" w:rsidRPr="00EC01F6" w:rsidRDefault="00870555" w:rsidP="00EC01F6">
      <w:pPr>
        <w:ind w:left="360"/>
        <w:rPr>
          <w:rFonts w:ascii="Times New Roman" w:hAnsi="Times New Roman" w:cs="Times New Roman"/>
          <w:i/>
          <w:sz w:val="24"/>
          <w:szCs w:val="24"/>
        </w:rPr>
      </w:pPr>
      <w:r w:rsidRPr="00EC01F6">
        <w:rPr>
          <w:rFonts w:ascii="Times New Roman" w:hAnsi="Times New Roman" w:cs="Times New Roman"/>
          <w:i/>
          <w:sz w:val="24"/>
          <w:szCs w:val="24"/>
        </w:rPr>
        <w:t>2.5 Overdrachtsbelasting</w:t>
      </w:r>
    </w:p>
    <w:p w14:paraId="5C0A43D3" w14:textId="376F315C" w:rsidR="00870555" w:rsidRPr="00EC01F6" w:rsidRDefault="009B410C"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Vanwege tijdnood moet de commissievoorzitter iets sneller door het hoofdstuk </w:t>
      </w:r>
      <w:r w:rsidR="00353645" w:rsidRPr="00EC01F6">
        <w:rPr>
          <w:rFonts w:ascii="Times New Roman" w:hAnsi="Times New Roman" w:cs="Times New Roman"/>
          <w:sz w:val="24"/>
          <w:szCs w:val="24"/>
        </w:rPr>
        <w:t>van de hand van Rozendaal</w:t>
      </w:r>
      <w:r w:rsidR="00AC1538" w:rsidRPr="00EC01F6">
        <w:rPr>
          <w:rStyle w:val="Voetnootmarkering"/>
          <w:rFonts w:ascii="Times New Roman" w:hAnsi="Times New Roman" w:cs="Times New Roman"/>
          <w:sz w:val="24"/>
          <w:szCs w:val="24"/>
        </w:rPr>
        <w:footnoteReference w:id="22"/>
      </w:r>
      <w:r w:rsidR="00353645" w:rsidRPr="00EC01F6">
        <w:rPr>
          <w:rFonts w:ascii="Times New Roman" w:hAnsi="Times New Roman" w:cs="Times New Roman"/>
          <w:sz w:val="24"/>
          <w:szCs w:val="24"/>
        </w:rPr>
        <w:t xml:space="preserve"> </w:t>
      </w:r>
      <w:r w:rsidRPr="00EC01F6">
        <w:rPr>
          <w:rFonts w:ascii="Times New Roman" w:hAnsi="Times New Roman" w:cs="Times New Roman"/>
          <w:sz w:val="24"/>
          <w:szCs w:val="24"/>
        </w:rPr>
        <w:t xml:space="preserve">over de overdrachtsbelasting </w:t>
      </w:r>
      <w:r w:rsidR="00353645" w:rsidRPr="00EC01F6">
        <w:rPr>
          <w:rFonts w:ascii="Times New Roman" w:hAnsi="Times New Roman" w:cs="Times New Roman"/>
          <w:sz w:val="24"/>
          <w:szCs w:val="24"/>
        </w:rPr>
        <w:t>heen</w:t>
      </w:r>
      <w:r w:rsidR="00311812" w:rsidRPr="00EC01F6">
        <w:rPr>
          <w:rFonts w:ascii="Times New Roman" w:hAnsi="Times New Roman" w:cs="Times New Roman"/>
          <w:sz w:val="24"/>
          <w:szCs w:val="24"/>
        </w:rPr>
        <w:t>.</w:t>
      </w:r>
      <w:r w:rsidR="00A9052D" w:rsidRPr="00EC01F6">
        <w:rPr>
          <w:rFonts w:ascii="Times New Roman" w:hAnsi="Times New Roman" w:cs="Times New Roman"/>
          <w:sz w:val="24"/>
          <w:szCs w:val="24"/>
        </w:rPr>
        <w:t xml:space="preserve"> </w:t>
      </w:r>
      <w:r w:rsidRPr="00EC01F6">
        <w:rPr>
          <w:rFonts w:ascii="Times New Roman" w:hAnsi="Times New Roman" w:cs="Times New Roman"/>
          <w:sz w:val="24"/>
          <w:szCs w:val="24"/>
        </w:rPr>
        <w:t xml:space="preserve">Het huidige probleem in de overdrachtsbelasting is dat personenvennootschappen geen verkrijger zijn, omdat zij geen rechtspersoonlijkheid hebben. Dat probleem gaat verdwijnen als </w:t>
      </w:r>
      <w:r w:rsidR="00B51F26" w:rsidRPr="00EC01F6">
        <w:rPr>
          <w:rFonts w:ascii="Times New Roman" w:hAnsi="Times New Roman" w:cs="Times New Roman"/>
          <w:sz w:val="24"/>
          <w:szCs w:val="24"/>
        </w:rPr>
        <w:t>de</w:t>
      </w:r>
      <w:r w:rsidRPr="00EC01F6">
        <w:rPr>
          <w:rFonts w:ascii="Times New Roman" w:hAnsi="Times New Roman" w:cs="Times New Roman"/>
          <w:sz w:val="24"/>
          <w:szCs w:val="24"/>
        </w:rPr>
        <w:t xml:space="preserve"> voorgestelde </w:t>
      </w:r>
      <w:r w:rsidR="0003576F" w:rsidRPr="00EC01F6">
        <w:rPr>
          <w:rFonts w:ascii="Times New Roman" w:hAnsi="Times New Roman" w:cs="Times New Roman"/>
          <w:sz w:val="24"/>
          <w:szCs w:val="24"/>
        </w:rPr>
        <w:t>titel 7.13 BW</w:t>
      </w:r>
      <w:r w:rsidRPr="00EC01F6">
        <w:rPr>
          <w:rFonts w:ascii="Times New Roman" w:hAnsi="Times New Roman" w:cs="Times New Roman"/>
          <w:sz w:val="24"/>
          <w:szCs w:val="24"/>
        </w:rPr>
        <w:t xml:space="preserve"> daadwerkelijk tot wasdom komt. Dan kunnen personenvennootschapen met rechtspersoonlijkheid immers aangemerkt worden als rechtspersoon voor de overdrachtsbelasting.</w:t>
      </w:r>
      <w:r w:rsidR="00BF16BC" w:rsidRPr="00EC01F6">
        <w:rPr>
          <w:rFonts w:ascii="Times New Roman" w:hAnsi="Times New Roman" w:cs="Times New Roman"/>
          <w:sz w:val="24"/>
          <w:szCs w:val="24"/>
        </w:rPr>
        <w:t xml:space="preserve"> Voor de overige knelpunten wordt verwezen naar Hoofdstuk 5 van het rapport.</w:t>
      </w:r>
    </w:p>
    <w:p w14:paraId="10D8D9E9" w14:textId="77777777" w:rsidR="00AC310F" w:rsidRPr="00EC01F6" w:rsidRDefault="00AC310F" w:rsidP="00EC01F6">
      <w:pPr>
        <w:ind w:left="360"/>
        <w:rPr>
          <w:rFonts w:ascii="Times New Roman" w:hAnsi="Times New Roman" w:cs="Times New Roman"/>
          <w:i/>
          <w:sz w:val="24"/>
          <w:szCs w:val="24"/>
        </w:rPr>
      </w:pPr>
      <w:r w:rsidRPr="00EC01F6">
        <w:rPr>
          <w:rFonts w:ascii="Times New Roman" w:hAnsi="Times New Roman" w:cs="Times New Roman"/>
          <w:i/>
          <w:sz w:val="24"/>
          <w:szCs w:val="24"/>
        </w:rPr>
        <w:t>2.6 Internationale fiscale aspecten</w:t>
      </w:r>
    </w:p>
    <w:p w14:paraId="6A2C7477" w14:textId="77777777" w:rsidR="00AC310F" w:rsidRPr="00EC01F6" w:rsidRDefault="00AC310F" w:rsidP="00EC01F6">
      <w:pPr>
        <w:ind w:left="360"/>
        <w:rPr>
          <w:rFonts w:ascii="Times New Roman" w:hAnsi="Times New Roman" w:cs="Times New Roman"/>
          <w:i/>
          <w:sz w:val="24"/>
          <w:szCs w:val="24"/>
        </w:rPr>
      </w:pPr>
      <w:r w:rsidRPr="00EC01F6">
        <w:rPr>
          <w:rFonts w:ascii="Times New Roman" w:hAnsi="Times New Roman" w:cs="Times New Roman"/>
          <w:i/>
          <w:sz w:val="24"/>
          <w:szCs w:val="24"/>
        </w:rPr>
        <w:t>2.6.1</w:t>
      </w:r>
      <w:r w:rsidR="00540199" w:rsidRPr="00EC01F6">
        <w:rPr>
          <w:rFonts w:ascii="Times New Roman" w:hAnsi="Times New Roman" w:cs="Times New Roman"/>
          <w:i/>
          <w:sz w:val="24"/>
          <w:szCs w:val="24"/>
        </w:rPr>
        <w:t xml:space="preserve"> </w:t>
      </w:r>
      <w:r w:rsidR="004B0336" w:rsidRPr="00EC01F6">
        <w:rPr>
          <w:rFonts w:ascii="Times New Roman" w:hAnsi="Times New Roman" w:cs="Times New Roman"/>
          <w:i/>
          <w:sz w:val="24"/>
          <w:szCs w:val="24"/>
        </w:rPr>
        <w:t>I</w:t>
      </w:r>
      <w:r w:rsidR="00540199" w:rsidRPr="00EC01F6">
        <w:rPr>
          <w:rFonts w:ascii="Times New Roman" w:hAnsi="Times New Roman" w:cs="Times New Roman"/>
          <w:i/>
          <w:sz w:val="24"/>
          <w:szCs w:val="24"/>
        </w:rPr>
        <w:t>nleiding</w:t>
      </w:r>
    </w:p>
    <w:p w14:paraId="467CFB9B" w14:textId="73DEB12E" w:rsidR="00AC310F" w:rsidRPr="00EC01F6" w:rsidRDefault="00AC310F"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Wat opvalt is dat de initiatieven van de OESO en de EU om de negatieve gevolgen van classificatieconflicten op te lossen zich eenzijdig richten op dubbele niet-heffing</w:t>
      </w:r>
      <w:r w:rsidR="00BF16BC" w:rsidRPr="00EC01F6">
        <w:rPr>
          <w:rFonts w:ascii="Times New Roman" w:hAnsi="Times New Roman" w:cs="Times New Roman"/>
          <w:sz w:val="24"/>
          <w:szCs w:val="24"/>
        </w:rPr>
        <w:t xml:space="preserve"> binnen concernverband</w:t>
      </w:r>
      <w:r w:rsidRPr="00EC01F6">
        <w:rPr>
          <w:rFonts w:ascii="Times New Roman" w:hAnsi="Times New Roman" w:cs="Times New Roman"/>
          <w:sz w:val="24"/>
          <w:szCs w:val="24"/>
        </w:rPr>
        <w:t xml:space="preserve">. </w:t>
      </w:r>
      <w:r w:rsidR="004B0336" w:rsidRPr="00EC01F6">
        <w:rPr>
          <w:rFonts w:ascii="Times New Roman" w:hAnsi="Times New Roman" w:cs="Times New Roman"/>
          <w:sz w:val="24"/>
          <w:szCs w:val="24"/>
        </w:rPr>
        <w:t>D</w:t>
      </w:r>
      <w:r w:rsidRPr="00EC01F6">
        <w:rPr>
          <w:rFonts w:ascii="Times New Roman" w:hAnsi="Times New Roman" w:cs="Times New Roman"/>
          <w:sz w:val="24"/>
          <w:szCs w:val="24"/>
        </w:rPr>
        <w:t xml:space="preserve">e schrijvers </w:t>
      </w:r>
      <w:r w:rsidR="004B0336" w:rsidRPr="00EC01F6">
        <w:rPr>
          <w:rFonts w:ascii="Times New Roman" w:hAnsi="Times New Roman" w:cs="Times New Roman"/>
          <w:sz w:val="24"/>
          <w:szCs w:val="24"/>
        </w:rPr>
        <w:t xml:space="preserve">van het internationale hoofdstuk, </w:t>
      </w:r>
      <w:r w:rsidRPr="00EC01F6">
        <w:rPr>
          <w:rFonts w:ascii="Times New Roman" w:hAnsi="Times New Roman" w:cs="Times New Roman"/>
          <w:sz w:val="24"/>
          <w:szCs w:val="24"/>
        </w:rPr>
        <w:t>Fibbe</w:t>
      </w:r>
      <w:r w:rsidR="004B0336" w:rsidRPr="00EC01F6">
        <w:rPr>
          <w:rStyle w:val="Voetnootmarkering"/>
          <w:rFonts w:ascii="Times New Roman" w:hAnsi="Times New Roman" w:cs="Times New Roman"/>
          <w:sz w:val="24"/>
          <w:szCs w:val="24"/>
        </w:rPr>
        <w:footnoteReference w:id="23"/>
      </w:r>
      <w:r w:rsidRPr="00EC01F6">
        <w:rPr>
          <w:rFonts w:ascii="Times New Roman" w:hAnsi="Times New Roman" w:cs="Times New Roman"/>
          <w:sz w:val="24"/>
          <w:szCs w:val="24"/>
        </w:rPr>
        <w:t xml:space="preserve"> en </w:t>
      </w:r>
      <w:r w:rsidR="004B0336" w:rsidRPr="00EC01F6">
        <w:rPr>
          <w:rFonts w:ascii="Times New Roman" w:hAnsi="Times New Roman" w:cs="Times New Roman"/>
          <w:sz w:val="24"/>
          <w:szCs w:val="24"/>
        </w:rPr>
        <w:t xml:space="preserve">de commissievoorzitter </w:t>
      </w:r>
      <w:r w:rsidR="00BF16BC" w:rsidRPr="00EC01F6">
        <w:rPr>
          <w:rFonts w:ascii="Times New Roman" w:hAnsi="Times New Roman" w:cs="Times New Roman"/>
          <w:sz w:val="24"/>
          <w:szCs w:val="24"/>
        </w:rPr>
        <w:t xml:space="preserve">A.J.A. </w:t>
      </w:r>
      <w:r w:rsidR="004B0336" w:rsidRPr="00EC01F6">
        <w:rPr>
          <w:rFonts w:ascii="Times New Roman" w:hAnsi="Times New Roman" w:cs="Times New Roman"/>
          <w:sz w:val="24"/>
          <w:szCs w:val="24"/>
        </w:rPr>
        <w:t>Stevens, hebben</w:t>
      </w:r>
      <w:r w:rsidRPr="00EC01F6">
        <w:rPr>
          <w:rFonts w:ascii="Times New Roman" w:hAnsi="Times New Roman" w:cs="Times New Roman"/>
          <w:sz w:val="24"/>
          <w:szCs w:val="24"/>
        </w:rPr>
        <w:t xml:space="preserve"> alle </w:t>
      </w:r>
      <w:r w:rsidR="00BF16BC" w:rsidRPr="00EC01F6">
        <w:rPr>
          <w:rFonts w:ascii="Times New Roman" w:hAnsi="Times New Roman" w:cs="Times New Roman"/>
          <w:sz w:val="24"/>
          <w:szCs w:val="24"/>
        </w:rPr>
        <w:t>oplossingen (</w:t>
      </w:r>
      <w:r w:rsidRPr="00EC01F6">
        <w:rPr>
          <w:rFonts w:ascii="Times New Roman" w:hAnsi="Times New Roman" w:cs="Times New Roman"/>
          <w:sz w:val="24"/>
          <w:szCs w:val="24"/>
        </w:rPr>
        <w:t xml:space="preserve">zogenaamde </w:t>
      </w:r>
      <w:r w:rsidRPr="00EC01F6">
        <w:rPr>
          <w:rFonts w:ascii="Times New Roman" w:hAnsi="Times New Roman" w:cs="Times New Roman"/>
          <w:i/>
          <w:sz w:val="24"/>
          <w:szCs w:val="24"/>
        </w:rPr>
        <w:t>linking rules</w:t>
      </w:r>
      <w:r w:rsidR="00BF16BC" w:rsidRPr="00EC01F6">
        <w:rPr>
          <w:rFonts w:ascii="Times New Roman" w:hAnsi="Times New Roman" w:cs="Times New Roman"/>
          <w:i/>
          <w:sz w:val="24"/>
          <w:szCs w:val="24"/>
        </w:rPr>
        <w:t>)</w:t>
      </w:r>
      <w:r w:rsidRPr="00EC01F6">
        <w:rPr>
          <w:rFonts w:ascii="Times New Roman" w:hAnsi="Times New Roman" w:cs="Times New Roman"/>
          <w:i/>
          <w:sz w:val="24"/>
          <w:szCs w:val="24"/>
        </w:rPr>
        <w:t xml:space="preserve"> </w:t>
      </w:r>
      <w:r w:rsidRPr="00EC01F6">
        <w:rPr>
          <w:rFonts w:ascii="Times New Roman" w:hAnsi="Times New Roman" w:cs="Times New Roman"/>
          <w:sz w:val="24"/>
          <w:szCs w:val="24"/>
        </w:rPr>
        <w:t xml:space="preserve">bekeken </w:t>
      </w:r>
      <w:r w:rsidR="008C2655" w:rsidRPr="00EC01F6">
        <w:rPr>
          <w:rFonts w:ascii="Times New Roman" w:hAnsi="Times New Roman" w:cs="Times New Roman"/>
          <w:sz w:val="24"/>
          <w:szCs w:val="24"/>
        </w:rPr>
        <w:t xml:space="preserve">en </w:t>
      </w:r>
      <w:r w:rsidRPr="00EC01F6">
        <w:rPr>
          <w:rFonts w:ascii="Times New Roman" w:hAnsi="Times New Roman" w:cs="Times New Roman"/>
          <w:sz w:val="24"/>
          <w:szCs w:val="24"/>
        </w:rPr>
        <w:t xml:space="preserve">waar mogelijk gezocht naar verbeteringen binnen het huidige systeem. </w:t>
      </w:r>
    </w:p>
    <w:p w14:paraId="43CD453F" w14:textId="77777777" w:rsidR="00540199" w:rsidRPr="00EC01F6" w:rsidRDefault="00540199"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2.6.2 </w:t>
      </w:r>
      <w:r w:rsidR="00593560" w:rsidRPr="00EC01F6">
        <w:rPr>
          <w:rFonts w:ascii="Times New Roman" w:hAnsi="Times New Roman" w:cs="Times New Roman"/>
          <w:i/>
          <w:sz w:val="24"/>
          <w:szCs w:val="24"/>
        </w:rPr>
        <w:t>N</w:t>
      </w:r>
      <w:r w:rsidRPr="00EC01F6">
        <w:rPr>
          <w:rFonts w:ascii="Times New Roman" w:hAnsi="Times New Roman" w:cs="Times New Roman"/>
          <w:i/>
          <w:sz w:val="24"/>
          <w:szCs w:val="24"/>
        </w:rPr>
        <w:t>ieuwe systeem</w:t>
      </w:r>
    </w:p>
    <w:p w14:paraId="039EE8A7" w14:textId="3FC5609A" w:rsidR="00540199" w:rsidRPr="00EC01F6" w:rsidRDefault="008C2655"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Toch heeft de commissie het niet gelaten bij verbeterpunten en zich ook gestort op een nieuw systeem</w:t>
      </w:r>
      <w:r w:rsidR="00540199" w:rsidRPr="00EC01F6">
        <w:rPr>
          <w:rFonts w:ascii="Times New Roman" w:hAnsi="Times New Roman" w:cs="Times New Roman"/>
          <w:sz w:val="24"/>
          <w:szCs w:val="24"/>
        </w:rPr>
        <w:t>.</w:t>
      </w:r>
      <w:r w:rsidR="00540199" w:rsidRPr="00EC01F6">
        <w:rPr>
          <w:rStyle w:val="Voetnootmarkering"/>
          <w:rFonts w:ascii="Times New Roman" w:hAnsi="Times New Roman" w:cs="Times New Roman"/>
          <w:sz w:val="24"/>
          <w:szCs w:val="24"/>
        </w:rPr>
        <w:footnoteReference w:id="24"/>
      </w:r>
      <w:r w:rsidR="00540199" w:rsidRPr="00EC01F6">
        <w:rPr>
          <w:rFonts w:ascii="Times New Roman" w:hAnsi="Times New Roman" w:cs="Times New Roman"/>
          <w:sz w:val="24"/>
          <w:szCs w:val="24"/>
        </w:rPr>
        <w:t xml:space="preserve"> Er is getracht een systeem te presenteren dat Nederland eenzijdig zou kunnen invoeren. Het nieuwe systeem blijft de </w:t>
      </w:r>
      <w:r w:rsidR="00540199" w:rsidRPr="00EC01F6">
        <w:rPr>
          <w:rFonts w:ascii="Times New Roman" w:hAnsi="Times New Roman" w:cs="Times New Roman"/>
          <w:i/>
          <w:sz w:val="24"/>
          <w:szCs w:val="24"/>
        </w:rPr>
        <w:t xml:space="preserve">corporate resemblance </w:t>
      </w:r>
      <w:r w:rsidR="00540199" w:rsidRPr="00EC01F6">
        <w:rPr>
          <w:rFonts w:ascii="Times New Roman" w:hAnsi="Times New Roman" w:cs="Times New Roman"/>
          <w:sz w:val="24"/>
          <w:szCs w:val="24"/>
        </w:rPr>
        <w:t xml:space="preserve">methode toepassen, behalve in de situatie dat de vestigingsstaat van de personenvennootschap een andere classificatie hanteert. In het laatstgenoemde geval geldt niet de </w:t>
      </w:r>
      <w:r w:rsidR="00540199" w:rsidRPr="00EC01F6">
        <w:rPr>
          <w:rFonts w:ascii="Times New Roman" w:hAnsi="Times New Roman" w:cs="Times New Roman"/>
          <w:i/>
          <w:sz w:val="24"/>
          <w:szCs w:val="24"/>
        </w:rPr>
        <w:t>corporate resemblance</w:t>
      </w:r>
      <w:r w:rsidR="00540199" w:rsidRPr="00EC01F6">
        <w:rPr>
          <w:rFonts w:ascii="Times New Roman" w:hAnsi="Times New Roman" w:cs="Times New Roman"/>
          <w:sz w:val="24"/>
          <w:szCs w:val="24"/>
        </w:rPr>
        <w:t xml:space="preserve"> methode, maar wordt aangesloten bij de classificatie van de personenvennootschap in de </w:t>
      </w:r>
      <w:r w:rsidR="000A2F7D" w:rsidRPr="00EC01F6">
        <w:rPr>
          <w:rFonts w:ascii="Times New Roman" w:hAnsi="Times New Roman" w:cs="Times New Roman"/>
          <w:sz w:val="24"/>
          <w:szCs w:val="24"/>
        </w:rPr>
        <w:t>vestigingsstaat</w:t>
      </w:r>
      <w:r w:rsidR="00540199" w:rsidRPr="00EC01F6">
        <w:rPr>
          <w:rFonts w:ascii="Times New Roman" w:hAnsi="Times New Roman" w:cs="Times New Roman"/>
          <w:sz w:val="24"/>
          <w:szCs w:val="24"/>
        </w:rPr>
        <w:t>.</w:t>
      </w:r>
      <w:r w:rsidR="008C1EF4" w:rsidRPr="00EC01F6">
        <w:rPr>
          <w:rFonts w:ascii="Times New Roman" w:hAnsi="Times New Roman" w:cs="Times New Roman"/>
          <w:sz w:val="24"/>
          <w:szCs w:val="24"/>
        </w:rPr>
        <w:t xml:space="preserve"> </w:t>
      </w:r>
      <w:r w:rsidR="00540199" w:rsidRPr="00EC01F6">
        <w:rPr>
          <w:rFonts w:ascii="Times New Roman" w:hAnsi="Times New Roman" w:cs="Times New Roman"/>
          <w:sz w:val="24"/>
          <w:szCs w:val="24"/>
        </w:rPr>
        <w:t xml:space="preserve">Met dit nieuwe systeem wordt </w:t>
      </w:r>
      <w:r w:rsidR="00BF16BC" w:rsidRPr="00EC01F6">
        <w:rPr>
          <w:rFonts w:ascii="Times New Roman" w:hAnsi="Times New Roman" w:cs="Times New Roman"/>
          <w:sz w:val="24"/>
          <w:szCs w:val="24"/>
        </w:rPr>
        <w:t xml:space="preserve">juist </w:t>
      </w:r>
      <w:r w:rsidR="00540199" w:rsidRPr="00EC01F6">
        <w:rPr>
          <w:rFonts w:ascii="Times New Roman" w:hAnsi="Times New Roman" w:cs="Times New Roman"/>
          <w:sz w:val="24"/>
          <w:szCs w:val="24"/>
        </w:rPr>
        <w:t>de oorzaak van classificatieverschillen weggenomen.</w:t>
      </w:r>
    </w:p>
    <w:p w14:paraId="02500106" w14:textId="77777777" w:rsidR="00540199" w:rsidRPr="00EC01F6" w:rsidRDefault="00540199"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2.6.3 </w:t>
      </w:r>
      <w:r w:rsidR="00593560" w:rsidRPr="00EC01F6">
        <w:rPr>
          <w:rFonts w:ascii="Times New Roman" w:hAnsi="Times New Roman" w:cs="Times New Roman"/>
          <w:i/>
          <w:sz w:val="24"/>
          <w:szCs w:val="24"/>
        </w:rPr>
        <w:t>V</w:t>
      </w:r>
      <w:r w:rsidRPr="00EC01F6">
        <w:rPr>
          <w:rFonts w:ascii="Times New Roman" w:hAnsi="Times New Roman" w:cs="Times New Roman"/>
          <w:i/>
          <w:sz w:val="24"/>
          <w:szCs w:val="24"/>
        </w:rPr>
        <w:t>oorbeeld nieuwe systeem</w:t>
      </w:r>
    </w:p>
    <w:p w14:paraId="32709249" w14:textId="177AE2FA" w:rsidR="00464CFE" w:rsidRPr="00EC01F6" w:rsidRDefault="00540199"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Stel dat een Nederlandse bv een lening verstrekt aan een Franse</w:t>
      </w:r>
      <w:r w:rsidR="001D7664" w:rsidRPr="00EC01F6">
        <w:rPr>
          <w:rFonts w:ascii="Times New Roman" w:hAnsi="Times New Roman" w:cs="Times New Roman"/>
          <w:sz w:val="24"/>
          <w:szCs w:val="24"/>
        </w:rPr>
        <w:t xml:space="preserve"> dochter-</w:t>
      </w:r>
      <w:r w:rsidR="0074745F" w:rsidRPr="00EC01F6">
        <w:rPr>
          <w:rFonts w:ascii="Times New Roman" w:hAnsi="Times New Roman" w:cs="Times New Roman"/>
          <w:sz w:val="24"/>
          <w:szCs w:val="24"/>
        </w:rPr>
        <w:t>SNC</w:t>
      </w:r>
      <w:r w:rsidRPr="00EC01F6">
        <w:rPr>
          <w:rFonts w:ascii="Times New Roman" w:hAnsi="Times New Roman" w:cs="Times New Roman"/>
          <w:sz w:val="24"/>
          <w:szCs w:val="24"/>
        </w:rPr>
        <w:t xml:space="preserve">. Nederland classificeert de </w:t>
      </w:r>
      <w:r w:rsidR="0074745F" w:rsidRPr="00EC01F6">
        <w:rPr>
          <w:rFonts w:ascii="Times New Roman" w:hAnsi="Times New Roman" w:cs="Times New Roman"/>
          <w:sz w:val="24"/>
          <w:szCs w:val="24"/>
        </w:rPr>
        <w:t>SNC</w:t>
      </w:r>
      <w:r w:rsidRPr="00EC01F6">
        <w:rPr>
          <w:rFonts w:ascii="Times New Roman" w:hAnsi="Times New Roman" w:cs="Times New Roman"/>
          <w:sz w:val="24"/>
          <w:szCs w:val="24"/>
        </w:rPr>
        <w:t xml:space="preserve"> als fiscaal-transparant, terwijl Frankrijk de mogelijkheid heeft om de </w:t>
      </w:r>
      <w:r w:rsidR="0074745F" w:rsidRPr="00EC01F6">
        <w:rPr>
          <w:rFonts w:ascii="Times New Roman" w:hAnsi="Times New Roman" w:cs="Times New Roman"/>
          <w:sz w:val="24"/>
          <w:szCs w:val="24"/>
        </w:rPr>
        <w:t>SNC</w:t>
      </w:r>
      <w:r w:rsidRPr="00EC01F6">
        <w:rPr>
          <w:rFonts w:ascii="Times New Roman" w:hAnsi="Times New Roman" w:cs="Times New Roman"/>
          <w:sz w:val="24"/>
          <w:szCs w:val="24"/>
        </w:rPr>
        <w:t xml:space="preserve"> als niet-transparant te behandelen. In het huidige systeem is misbruik van een dergelijk situatie </w:t>
      </w:r>
      <w:r w:rsidR="008C68F6" w:rsidRPr="00EC01F6">
        <w:rPr>
          <w:rFonts w:ascii="Times New Roman" w:hAnsi="Times New Roman" w:cs="Times New Roman"/>
          <w:sz w:val="24"/>
          <w:szCs w:val="24"/>
        </w:rPr>
        <w:t xml:space="preserve">aan te pakken door middel van art. </w:t>
      </w:r>
      <w:r w:rsidR="00AE4B90" w:rsidRPr="00EC01F6">
        <w:rPr>
          <w:rFonts w:ascii="Times New Roman" w:hAnsi="Times New Roman" w:cs="Times New Roman"/>
          <w:sz w:val="24"/>
          <w:szCs w:val="24"/>
        </w:rPr>
        <w:t>12ab lid</w:t>
      </w:r>
      <w:r w:rsidR="00890A4C" w:rsidRPr="00EC01F6">
        <w:rPr>
          <w:rFonts w:ascii="Times New Roman" w:hAnsi="Times New Roman" w:cs="Times New Roman"/>
          <w:sz w:val="24"/>
          <w:szCs w:val="24"/>
        </w:rPr>
        <w:t xml:space="preserve"> 1</w:t>
      </w:r>
      <w:r w:rsidR="00AE4B90" w:rsidRPr="00EC01F6">
        <w:rPr>
          <w:rFonts w:ascii="Times New Roman" w:hAnsi="Times New Roman" w:cs="Times New Roman"/>
          <w:sz w:val="24"/>
          <w:szCs w:val="24"/>
        </w:rPr>
        <w:t xml:space="preserve"> Wet V</w:t>
      </w:r>
      <w:r w:rsidR="00011923" w:rsidRPr="00EC01F6">
        <w:rPr>
          <w:rFonts w:ascii="Times New Roman" w:hAnsi="Times New Roman" w:cs="Times New Roman"/>
          <w:sz w:val="24"/>
          <w:szCs w:val="24"/>
        </w:rPr>
        <w:t>p</w:t>
      </w:r>
      <w:r w:rsidR="00AE4B90" w:rsidRPr="00EC01F6">
        <w:rPr>
          <w:rFonts w:ascii="Times New Roman" w:hAnsi="Times New Roman" w:cs="Times New Roman"/>
          <w:sz w:val="24"/>
          <w:szCs w:val="24"/>
        </w:rPr>
        <w:t>B 1969</w:t>
      </w:r>
      <w:r w:rsidR="001D7664" w:rsidRPr="00EC01F6">
        <w:rPr>
          <w:rFonts w:ascii="Times New Roman" w:hAnsi="Times New Roman" w:cs="Times New Roman"/>
          <w:sz w:val="24"/>
          <w:szCs w:val="24"/>
        </w:rPr>
        <w:t>.</w:t>
      </w:r>
      <w:r w:rsidR="004A38F7" w:rsidRPr="00EC01F6">
        <w:rPr>
          <w:rFonts w:ascii="Times New Roman" w:hAnsi="Times New Roman" w:cs="Times New Roman"/>
          <w:sz w:val="24"/>
          <w:szCs w:val="24"/>
        </w:rPr>
        <w:t xml:space="preserve"> Deze ingewikkelde </w:t>
      </w:r>
      <w:r w:rsidR="004A38F7" w:rsidRPr="00EC01F6">
        <w:rPr>
          <w:rFonts w:ascii="Times New Roman" w:hAnsi="Times New Roman" w:cs="Times New Roman"/>
          <w:sz w:val="24"/>
          <w:szCs w:val="24"/>
        </w:rPr>
        <w:lastRenderedPageBreak/>
        <w:t xml:space="preserve">regeling heeft tot doel de gevolgen van het </w:t>
      </w:r>
      <w:r w:rsidR="004D326C" w:rsidRPr="00EC01F6">
        <w:rPr>
          <w:rFonts w:ascii="Times New Roman" w:hAnsi="Times New Roman" w:cs="Times New Roman"/>
          <w:sz w:val="24"/>
          <w:szCs w:val="24"/>
        </w:rPr>
        <w:t>class</w:t>
      </w:r>
      <w:r w:rsidR="004A38F7" w:rsidRPr="00EC01F6">
        <w:rPr>
          <w:rFonts w:ascii="Times New Roman" w:hAnsi="Times New Roman" w:cs="Times New Roman"/>
          <w:sz w:val="24"/>
          <w:szCs w:val="24"/>
        </w:rPr>
        <w:t xml:space="preserve">ificatieverschil – </w:t>
      </w:r>
      <w:r w:rsidR="004D326C" w:rsidRPr="00EC01F6">
        <w:rPr>
          <w:rFonts w:ascii="Times New Roman" w:hAnsi="Times New Roman" w:cs="Times New Roman"/>
          <w:sz w:val="24"/>
          <w:szCs w:val="24"/>
        </w:rPr>
        <w:t>renteaftrek</w:t>
      </w:r>
      <w:r w:rsidR="004A38F7" w:rsidRPr="00EC01F6">
        <w:rPr>
          <w:rFonts w:ascii="Times New Roman" w:hAnsi="Times New Roman" w:cs="Times New Roman"/>
          <w:sz w:val="24"/>
          <w:szCs w:val="24"/>
        </w:rPr>
        <w:t xml:space="preserve"> in Frankrijk zonder heffing in Nederland – te repareren. Dit gebeurt door een inkomen te fingeren in Nederland en de objectvrijstelling niet meer toe te passen.</w:t>
      </w:r>
      <w:r w:rsidR="00F74EC5" w:rsidRPr="00EC01F6">
        <w:rPr>
          <w:rFonts w:ascii="Times New Roman" w:hAnsi="Times New Roman" w:cs="Times New Roman"/>
          <w:sz w:val="24"/>
          <w:szCs w:val="24"/>
        </w:rPr>
        <w:t xml:space="preserve"> </w:t>
      </w:r>
      <w:r w:rsidR="00464CFE" w:rsidRPr="00EC01F6">
        <w:rPr>
          <w:rFonts w:ascii="Times New Roman" w:hAnsi="Times New Roman" w:cs="Times New Roman"/>
          <w:sz w:val="24"/>
          <w:szCs w:val="24"/>
        </w:rPr>
        <w:t xml:space="preserve">In het nieuwe systeem wordt aangesloten bij de Frans classificatie en wordt de </w:t>
      </w:r>
      <w:r w:rsidR="0074745F" w:rsidRPr="00EC01F6">
        <w:rPr>
          <w:rFonts w:ascii="Times New Roman" w:hAnsi="Times New Roman" w:cs="Times New Roman"/>
          <w:sz w:val="24"/>
          <w:szCs w:val="24"/>
        </w:rPr>
        <w:t>SNC</w:t>
      </w:r>
      <w:r w:rsidR="00464CFE" w:rsidRPr="00EC01F6">
        <w:rPr>
          <w:rFonts w:ascii="Times New Roman" w:hAnsi="Times New Roman" w:cs="Times New Roman"/>
          <w:sz w:val="24"/>
          <w:szCs w:val="24"/>
        </w:rPr>
        <w:t xml:space="preserve"> behandeld als </w:t>
      </w:r>
      <w:r w:rsidR="000A2F7D" w:rsidRPr="00EC01F6">
        <w:rPr>
          <w:rFonts w:ascii="Times New Roman" w:hAnsi="Times New Roman" w:cs="Times New Roman"/>
          <w:sz w:val="24"/>
          <w:szCs w:val="24"/>
        </w:rPr>
        <w:t xml:space="preserve">niet-transparant </w:t>
      </w:r>
      <w:r w:rsidR="00464CFE" w:rsidRPr="00EC01F6">
        <w:rPr>
          <w:rFonts w:ascii="Times New Roman" w:hAnsi="Times New Roman" w:cs="Times New Roman"/>
          <w:sz w:val="24"/>
          <w:szCs w:val="24"/>
        </w:rPr>
        <w:t>lichaam. Op deze manier wordt de door de bv ontvangen rente in Nederland belast.</w:t>
      </w:r>
    </w:p>
    <w:p w14:paraId="23A8CBAB" w14:textId="77777777" w:rsidR="00685545" w:rsidRPr="00EC01F6" w:rsidRDefault="002A24E5" w:rsidP="00EC01F6">
      <w:pPr>
        <w:pStyle w:val="Lijstalinea"/>
        <w:numPr>
          <w:ilvl w:val="0"/>
          <w:numId w:val="1"/>
        </w:numPr>
        <w:tabs>
          <w:tab w:val="left" w:pos="4820"/>
        </w:tabs>
        <w:rPr>
          <w:rFonts w:ascii="Times New Roman" w:hAnsi="Times New Roman" w:cs="Times New Roman"/>
          <w:sz w:val="24"/>
          <w:szCs w:val="24"/>
        </w:rPr>
      </w:pPr>
      <w:r w:rsidRPr="00EC01F6">
        <w:rPr>
          <w:rFonts w:ascii="Times New Roman" w:hAnsi="Times New Roman" w:cs="Times New Roman"/>
          <w:i/>
          <w:sz w:val="24"/>
          <w:szCs w:val="24"/>
        </w:rPr>
        <w:t>Fundamentele reflectie op het rapport</w:t>
      </w:r>
      <w:r w:rsidR="00593560" w:rsidRPr="00EC01F6">
        <w:rPr>
          <w:rFonts w:ascii="Times New Roman" w:hAnsi="Times New Roman" w:cs="Times New Roman"/>
          <w:i/>
          <w:sz w:val="24"/>
          <w:szCs w:val="24"/>
        </w:rPr>
        <w:t xml:space="preserve"> </w:t>
      </w:r>
      <w:r w:rsidRPr="00EC01F6">
        <w:rPr>
          <w:rFonts w:ascii="Times New Roman" w:hAnsi="Times New Roman" w:cs="Times New Roman"/>
          <w:i/>
          <w:sz w:val="24"/>
          <w:szCs w:val="24"/>
        </w:rPr>
        <w:t>- Boer</w:t>
      </w:r>
      <w:r w:rsidR="00C41228" w:rsidRPr="00EC01F6">
        <w:rPr>
          <w:rStyle w:val="Voetnootmarkering"/>
          <w:rFonts w:ascii="Times New Roman" w:hAnsi="Times New Roman" w:cs="Times New Roman"/>
          <w:sz w:val="24"/>
          <w:szCs w:val="24"/>
        </w:rPr>
        <w:footnoteReference w:id="25"/>
      </w:r>
    </w:p>
    <w:p w14:paraId="1D9A2E19" w14:textId="77777777" w:rsidR="002A24E5" w:rsidRPr="00EC01F6" w:rsidRDefault="002A24E5" w:rsidP="00EC01F6">
      <w:pPr>
        <w:ind w:left="360"/>
        <w:rPr>
          <w:rFonts w:ascii="Times New Roman" w:hAnsi="Times New Roman" w:cs="Times New Roman"/>
          <w:i/>
          <w:sz w:val="24"/>
          <w:szCs w:val="24"/>
        </w:rPr>
      </w:pPr>
      <w:r w:rsidRPr="00EC01F6">
        <w:rPr>
          <w:rFonts w:ascii="Times New Roman" w:hAnsi="Times New Roman" w:cs="Times New Roman"/>
          <w:i/>
          <w:sz w:val="24"/>
          <w:szCs w:val="24"/>
        </w:rPr>
        <w:t>3.1 Inleiding</w:t>
      </w:r>
    </w:p>
    <w:p w14:paraId="3EE739CB" w14:textId="7D679E5E" w:rsidR="002A24E5" w:rsidRPr="00EC01F6" w:rsidRDefault="002A24E5"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Boer is gevraagd een fundamentele reflectie te geven op het door de Commissie Personenvennootschappen gepresenteerde rapport. Na verontschuldigingen voor het niet dragen van een jasje in de snikhete zaal, richt Boer zich tot </w:t>
      </w:r>
      <w:r w:rsidR="00890A4C" w:rsidRPr="00EC01F6">
        <w:rPr>
          <w:rFonts w:ascii="Times New Roman" w:hAnsi="Times New Roman" w:cs="Times New Roman"/>
          <w:sz w:val="24"/>
          <w:szCs w:val="24"/>
        </w:rPr>
        <w:t xml:space="preserve">de </w:t>
      </w:r>
      <w:r w:rsidRPr="00EC01F6">
        <w:rPr>
          <w:rFonts w:ascii="Times New Roman" w:hAnsi="Times New Roman" w:cs="Times New Roman"/>
          <w:sz w:val="24"/>
          <w:szCs w:val="24"/>
        </w:rPr>
        <w:t xml:space="preserve">commissie met zijn complimenten. Het is een fris rapport. De punten die </w:t>
      </w:r>
      <w:r w:rsidR="006E2474" w:rsidRPr="00EC01F6">
        <w:rPr>
          <w:rFonts w:ascii="Times New Roman" w:hAnsi="Times New Roman" w:cs="Times New Roman"/>
          <w:sz w:val="24"/>
          <w:szCs w:val="24"/>
        </w:rPr>
        <w:t xml:space="preserve">hij </w:t>
      </w:r>
      <w:r w:rsidRPr="00EC01F6">
        <w:rPr>
          <w:rFonts w:ascii="Times New Roman" w:hAnsi="Times New Roman" w:cs="Times New Roman"/>
          <w:sz w:val="24"/>
          <w:szCs w:val="24"/>
        </w:rPr>
        <w:t>opwerpt zijn volgens Boer niet p</w:t>
      </w:r>
      <w:r w:rsidR="006E2474" w:rsidRPr="00EC01F6">
        <w:rPr>
          <w:rFonts w:ascii="Times New Roman" w:hAnsi="Times New Roman" w:cs="Times New Roman"/>
          <w:sz w:val="24"/>
          <w:szCs w:val="24"/>
        </w:rPr>
        <w:t>er</w:t>
      </w:r>
      <w:r w:rsidRPr="00EC01F6">
        <w:rPr>
          <w:rFonts w:ascii="Times New Roman" w:hAnsi="Times New Roman" w:cs="Times New Roman"/>
          <w:sz w:val="24"/>
          <w:szCs w:val="24"/>
        </w:rPr>
        <w:t xml:space="preserve"> se kritiek, maar zaken waar hij op het eerste gezicht tegen aangelopen is. Hij hoopt dat deze problemen met medewerking van </w:t>
      </w:r>
      <w:r w:rsidR="00BF16BC" w:rsidRPr="00EC01F6">
        <w:rPr>
          <w:rFonts w:ascii="Times New Roman" w:hAnsi="Times New Roman" w:cs="Times New Roman"/>
          <w:sz w:val="24"/>
          <w:szCs w:val="24"/>
        </w:rPr>
        <w:t xml:space="preserve">de </w:t>
      </w:r>
      <w:r w:rsidRPr="00EC01F6">
        <w:rPr>
          <w:rFonts w:ascii="Times New Roman" w:hAnsi="Times New Roman" w:cs="Times New Roman"/>
          <w:sz w:val="24"/>
          <w:szCs w:val="24"/>
        </w:rPr>
        <w:t>deelnemers van de bijeenkomst weggenomen kunnen worden</w:t>
      </w:r>
      <w:r w:rsidR="006E2474" w:rsidRPr="00EC01F6">
        <w:rPr>
          <w:rFonts w:ascii="Times New Roman" w:hAnsi="Times New Roman" w:cs="Times New Roman"/>
          <w:sz w:val="24"/>
          <w:szCs w:val="24"/>
        </w:rPr>
        <w:t xml:space="preserve"> </w:t>
      </w:r>
      <w:r w:rsidRPr="00EC01F6">
        <w:rPr>
          <w:rFonts w:ascii="Times New Roman" w:hAnsi="Times New Roman" w:cs="Times New Roman"/>
          <w:sz w:val="24"/>
          <w:szCs w:val="24"/>
        </w:rPr>
        <w:t>- dat is althans zijn doel.</w:t>
      </w:r>
    </w:p>
    <w:p w14:paraId="47A0E9E0" w14:textId="4276A74C" w:rsidR="00D51905" w:rsidRPr="00EC01F6" w:rsidRDefault="002A24E5"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Het concept van fiscale transparantie is in de loop der jaren gemeengoed geworden in de inkomstenbelasting. Proefschriften te over hebben laten zien dat het niet allemaal even logisch is, maar “het is zoals het is”. Het ontbreken van een gedegen rechtsgrondslag is een verklaring voor – maar niet alle – problemen.</w:t>
      </w:r>
    </w:p>
    <w:p w14:paraId="03391B02" w14:textId="77777777" w:rsidR="00D51905" w:rsidRPr="00EC01F6" w:rsidRDefault="00D51905"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3.2 </w:t>
      </w:r>
      <w:r w:rsidR="004D34E5" w:rsidRPr="00EC01F6">
        <w:rPr>
          <w:rFonts w:ascii="Times New Roman" w:hAnsi="Times New Roman" w:cs="Times New Roman"/>
          <w:i/>
          <w:sz w:val="24"/>
          <w:szCs w:val="24"/>
        </w:rPr>
        <w:t>De knelpunten</w:t>
      </w:r>
      <w:r w:rsidR="00892C32" w:rsidRPr="00EC01F6">
        <w:rPr>
          <w:rFonts w:ascii="Times New Roman" w:hAnsi="Times New Roman" w:cs="Times New Roman"/>
          <w:i/>
          <w:sz w:val="24"/>
          <w:szCs w:val="24"/>
        </w:rPr>
        <w:t xml:space="preserve"> inkomstenbelasting</w:t>
      </w:r>
    </w:p>
    <w:p w14:paraId="40CDCD08" w14:textId="4A28DB2D" w:rsidR="002A24E5" w:rsidRPr="00EC01F6" w:rsidRDefault="00D51905"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Doornebal en Van Kempen signaleren volgens Boer knelpunten op drie </w:t>
      </w:r>
      <w:r w:rsidR="00B51F26" w:rsidRPr="00EC01F6">
        <w:rPr>
          <w:rFonts w:ascii="Times New Roman" w:hAnsi="Times New Roman" w:cs="Times New Roman"/>
          <w:sz w:val="24"/>
          <w:szCs w:val="24"/>
        </w:rPr>
        <w:t>niveaus</w:t>
      </w:r>
      <w:r w:rsidRPr="00EC01F6">
        <w:rPr>
          <w:rFonts w:ascii="Times New Roman" w:hAnsi="Times New Roman" w:cs="Times New Roman"/>
          <w:sz w:val="24"/>
          <w:szCs w:val="24"/>
        </w:rPr>
        <w:t xml:space="preserve">. In de eerste plaats in de verhouding tussen de firmanten en de personenvennootschapen. De spreker onderschrijft dat civielrechtelijk gekkigheden kunnen ontstaan zoals bij een lening tussen de firmant en zijn vennootschap, maar hij vraagt zicht af hoe groot het probleem nu eigenlijk is. </w:t>
      </w:r>
    </w:p>
    <w:p w14:paraId="323F7351" w14:textId="77777777" w:rsidR="00D51905" w:rsidRPr="00EC01F6" w:rsidRDefault="00D51905"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Het tweede niveau waar Doornebal en Van Kempen problemen hebben gesignaleerd is bij de fiscale winstbepaling van transparante personenvennootschappen. Deze </w:t>
      </w:r>
      <w:r w:rsidR="004D34E5" w:rsidRPr="00EC01F6">
        <w:rPr>
          <w:rFonts w:ascii="Times New Roman" w:hAnsi="Times New Roman" w:cs="Times New Roman"/>
          <w:sz w:val="24"/>
          <w:szCs w:val="24"/>
        </w:rPr>
        <w:t xml:space="preserve">complexe </w:t>
      </w:r>
      <w:r w:rsidRPr="00EC01F6">
        <w:rPr>
          <w:rFonts w:ascii="Times New Roman" w:hAnsi="Times New Roman" w:cs="Times New Roman"/>
          <w:sz w:val="24"/>
          <w:szCs w:val="24"/>
        </w:rPr>
        <w:t>problemen herkent Boer en hij wijst in dat kader op de recente jurisprudentie van de Hoge Raad over de berekening van de KIA.</w:t>
      </w:r>
      <w:r w:rsidR="004D34E5" w:rsidRPr="00EC01F6">
        <w:rPr>
          <w:rStyle w:val="Voetnootmarkering"/>
          <w:rFonts w:ascii="Times New Roman" w:hAnsi="Times New Roman" w:cs="Times New Roman"/>
          <w:sz w:val="24"/>
          <w:szCs w:val="24"/>
        </w:rPr>
        <w:footnoteReference w:id="26"/>
      </w:r>
      <w:r w:rsidR="004D34E5" w:rsidRPr="00EC01F6">
        <w:rPr>
          <w:rFonts w:ascii="Times New Roman" w:hAnsi="Times New Roman" w:cs="Times New Roman"/>
          <w:sz w:val="24"/>
          <w:szCs w:val="24"/>
        </w:rPr>
        <w:t xml:space="preserve"> Als hierbij het buitenvennootschappelijke ondernemingsvermogen wordt betrokken, wordt </w:t>
      </w:r>
      <w:r w:rsidR="002129A7" w:rsidRPr="00EC01F6">
        <w:rPr>
          <w:rFonts w:ascii="Times New Roman" w:hAnsi="Times New Roman" w:cs="Times New Roman"/>
          <w:sz w:val="24"/>
          <w:szCs w:val="24"/>
        </w:rPr>
        <w:t>een en ander</w:t>
      </w:r>
      <w:r w:rsidR="004D34E5" w:rsidRPr="00EC01F6">
        <w:rPr>
          <w:rFonts w:ascii="Times New Roman" w:hAnsi="Times New Roman" w:cs="Times New Roman"/>
          <w:sz w:val="24"/>
          <w:szCs w:val="24"/>
        </w:rPr>
        <w:t xml:space="preserve"> nog gecompliceerder.</w:t>
      </w:r>
    </w:p>
    <w:p w14:paraId="4737B8E0" w14:textId="7BB83E74" w:rsidR="004D34E5" w:rsidRPr="00EC01F6" w:rsidRDefault="004D34E5"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Ten derde de door de commissie onderkende complicaties bij toe- en uittreding. Hier brengt Boer een nuance aan</w:t>
      </w:r>
      <w:r w:rsidR="00502C21">
        <w:rPr>
          <w:rFonts w:ascii="Times New Roman" w:hAnsi="Times New Roman" w:cs="Times New Roman"/>
          <w:sz w:val="24"/>
          <w:szCs w:val="24"/>
        </w:rPr>
        <w:t>,</w:t>
      </w:r>
      <w:r w:rsidRPr="00EC01F6">
        <w:rPr>
          <w:rFonts w:ascii="Times New Roman" w:hAnsi="Times New Roman" w:cs="Times New Roman"/>
          <w:sz w:val="24"/>
          <w:szCs w:val="24"/>
        </w:rPr>
        <w:t xml:space="preserve"> omdat hij vindt dat de ergste complicaties zijn verdwenen met het motorvrachtschip arrest.</w:t>
      </w:r>
      <w:r w:rsidRPr="00EC01F6">
        <w:rPr>
          <w:rStyle w:val="Voetnootmarkering"/>
          <w:rFonts w:ascii="Times New Roman" w:hAnsi="Times New Roman" w:cs="Times New Roman"/>
          <w:sz w:val="24"/>
          <w:szCs w:val="24"/>
        </w:rPr>
        <w:footnoteReference w:id="27"/>
      </w:r>
    </w:p>
    <w:p w14:paraId="3FBC4A08" w14:textId="77777777" w:rsidR="004D34E5" w:rsidRPr="00EC01F6" w:rsidRDefault="004D34E5"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3.3 </w:t>
      </w:r>
      <w:r w:rsidR="002E6D97" w:rsidRPr="00EC01F6">
        <w:rPr>
          <w:rFonts w:ascii="Times New Roman" w:hAnsi="Times New Roman" w:cs="Times New Roman"/>
          <w:i/>
          <w:sz w:val="24"/>
          <w:szCs w:val="24"/>
        </w:rPr>
        <w:t>Reflecties op en vragen bij het alternatieve systeem</w:t>
      </w:r>
      <w:r w:rsidR="00892C32" w:rsidRPr="00EC01F6">
        <w:rPr>
          <w:rFonts w:ascii="Times New Roman" w:hAnsi="Times New Roman" w:cs="Times New Roman"/>
          <w:i/>
          <w:sz w:val="24"/>
          <w:szCs w:val="24"/>
        </w:rPr>
        <w:t xml:space="preserve"> inkomstenbelasting</w:t>
      </w:r>
    </w:p>
    <w:p w14:paraId="3570FAE2" w14:textId="7A0A4508" w:rsidR="004D34E5" w:rsidRPr="00EC01F6" w:rsidRDefault="004D34E5"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In het licht van de genoemde knelpunten is de commissie gekomen met een alternatief systeem. Dat systeem verdient volgens de spreker veel lof</w:t>
      </w:r>
      <w:r w:rsidR="00FA62F7" w:rsidRPr="00EC01F6">
        <w:rPr>
          <w:rFonts w:ascii="Times New Roman" w:hAnsi="Times New Roman" w:cs="Times New Roman"/>
          <w:sz w:val="24"/>
          <w:szCs w:val="24"/>
        </w:rPr>
        <w:t xml:space="preserve">; </w:t>
      </w:r>
      <w:r w:rsidRPr="00EC01F6">
        <w:rPr>
          <w:rFonts w:ascii="Times New Roman" w:hAnsi="Times New Roman" w:cs="Times New Roman"/>
          <w:sz w:val="24"/>
          <w:szCs w:val="24"/>
        </w:rPr>
        <w:t xml:space="preserve">dit systeem is geheel nieuw. In zoverre verdienen de auteurs een compliment. </w:t>
      </w:r>
    </w:p>
    <w:p w14:paraId="4A55921C" w14:textId="6640D6E2" w:rsidR="004D34E5" w:rsidRPr="00EC01F6" w:rsidRDefault="00E96DF0"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lastRenderedPageBreak/>
        <w:t>Toch heeft Boer reflecties</w:t>
      </w:r>
      <w:r w:rsidR="00E201DE" w:rsidRPr="00EC01F6">
        <w:rPr>
          <w:rFonts w:ascii="Times New Roman" w:hAnsi="Times New Roman" w:cs="Times New Roman"/>
          <w:sz w:val="24"/>
          <w:szCs w:val="24"/>
        </w:rPr>
        <w:t xml:space="preserve"> op,</w:t>
      </w:r>
      <w:r w:rsidRPr="00EC01F6">
        <w:rPr>
          <w:rFonts w:ascii="Times New Roman" w:hAnsi="Times New Roman" w:cs="Times New Roman"/>
          <w:sz w:val="24"/>
          <w:szCs w:val="24"/>
        </w:rPr>
        <w:t xml:space="preserve"> of beter gezegd vragen bij</w:t>
      </w:r>
      <w:r w:rsidR="00E201DE" w:rsidRPr="00EC01F6">
        <w:rPr>
          <w:rFonts w:ascii="Times New Roman" w:hAnsi="Times New Roman" w:cs="Times New Roman"/>
          <w:sz w:val="24"/>
          <w:szCs w:val="24"/>
        </w:rPr>
        <w:t>,</w:t>
      </w:r>
      <w:r w:rsidRPr="00EC01F6">
        <w:rPr>
          <w:rFonts w:ascii="Times New Roman" w:hAnsi="Times New Roman" w:cs="Times New Roman"/>
          <w:sz w:val="24"/>
          <w:szCs w:val="24"/>
        </w:rPr>
        <w:t xml:space="preserve"> het alternatieve systeem. In de eerste plaats vraagt de spreker zich af of de genoemde knelpunten van dusdanige omvang zijn dat zij een </w:t>
      </w:r>
      <w:r w:rsidR="00E201DE" w:rsidRPr="00EC01F6">
        <w:rPr>
          <w:rFonts w:ascii="Times New Roman" w:hAnsi="Times New Roman" w:cs="Times New Roman"/>
          <w:sz w:val="24"/>
          <w:szCs w:val="24"/>
        </w:rPr>
        <w:t xml:space="preserve">zo </w:t>
      </w:r>
      <w:r w:rsidRPr="00EC01F6">
        <w:rPr>
          <w:rFonts w:ascii="Times New Roman" w:hAnsi="Times New Roman" w:cs="Times New Roman"/>
          <w:sz w:val="24"/>
          <w:szCs w:val="24"/>
        </w:rPr>
        <w:t xml:space="preserve">majeure aanpassing van het huidige systeem rechtvaardigen. Dat </w:t>
      </w:r>
      <w:r w:rsidR="00E201DE" w:rsidRPr="00EC01F6">
        <w:rPr>
          <w:rFonts w:ascii="Times New Roman" w:hAnsi="Times New Roman" w:cs="Times New Roman"/>
          <w:sz w:val="24"/>
          <w:szCs w:val="24"/>
        </w:rPr>
        <w:t xml:space="preserve">het </w:t>
      </w:r>
      <w:r w:rsidRPr="00EC01F6">
        <w:rPr>
          <w:rFonts w:ascii="Times New Roman" w:hAnsi="Times New Roman" w:cs="Times New Roman"/>
          <w:sz w:val="24"/>
          <w:szCs w:val="24"/>
        </w:rPr>
        <w:t>een majeure ingreep betreft</w:t>
      </w:r>
      <w:r w:rsidR="00502C21">
        <w:rPr>
          <w:rFonts w:ascii="Times New Roman" w:hAnsi="Times New Roman" w:cs="Times New Roman"/>
          <w:sz w:val="24"/>
          <w:szCs w:val="24"/>
        </w:rPr>
        <w:t>,</w:t>
      </w:r>
      <w:r w:rsidRPr="00EC01F6">
        <w:rPr>
          <w:rFonts w:ascii="Times New Roman" w:hAnsi="Times New Roman" w:cs="Times New Roman"/>
          <w:sz w:val="24"/>
          <w:szCs w:val="24"/>
        </w:rPr>
        <w:t xml:space="preserve"> volgt bijvoorbeeld </w:t>
      </w:r>
      <w:r w:rsidR="00E201DE" w:rsidRPr="00EC01F6">
        <w:rPr>
          <w:rFonts w:ascii="Times New Roman" w:hAnsi="Times New Roman" w:cs="Times New Roman"/>
          <w:sz w:val="24"/>
          <w:szCs w:val="24"/>
        </w:rPr>
        <w:t>uit</w:t>
      </w:r>
      <w:r w:rsidRPr="00EC01F6">
        <w:rPr>
          <w:rFonts w:ascii="Times New Roman" w:hAnsi="Times New Roman" w:cs="Times New Roman"/>
          <w:sz w:val="24"/>
          <w:szCs w:val="24"/>
        </w:rPr>
        <w:t xml:space="preserve"> het aantal flankerende </w:t>
      </w:r>
      <w:r w:rsidR="00734DF4" w:rsidRPr="00EC01F6">
        <w:rPr>
          <w:rFonts w:ascii="Times New Roman" w:hAnsi="Times New Roman" w:cs="Times New Roman"/>
          <w:sz w:val="24"/>
          <w:szCs w:val="24"/>
        </w:rPr>
        <w:t>maatregelen dat moet worden getroffen</w:t>
      </w:r>
      <w:r w:rsidR="00E201DE" w:rsidRPr="00EC01F6">
        <w:rPr>
          <w:rFonts w:ascii="Times New Roman" w:hAnsi="Times New Roman" w:cs="Times New Roman"/>
          <w:sz w:val="24"/>
          <w:szCs w:val="24"/>
        </w:rPr>
        <w:t>,</w:t>
      </w:r>
      <w:r w:rsidR="00734DF4" w:rsidRPr="00EC01F6">
        <w:rPr>
          <w:rFonts w:ascii="Times New Roman" w:hAnsi="Times New Roman" w:cs="Times New Roman"/>
          <w:sz w:val="24"/>
          <w:szCs w:val="24"/>
        </w:rPr>
        <w:t xml:space="preserve"> </w:t>
      </w:r>
      <w:r w:rsidR="00E201DE" w:rsidRPr="00EC01F6">
        <w:rPr>
          <w:rFonts w:ascii="Times New Roman" w:hAnsi="Times New Roman" w:cs="Times New Roman"/>
          <w:sz w:val="24"/>
          <w:szCs w:val="24"/>
        </w:rPr>
        <w:t xml:space="preserve">zoals voor </w:t>
      </w:r>
      <w:r w:rsidR="00734DF4" w:rsidRPr="00EC01F6">
        <w:rPr>
          <w:rFonts w:ascii="Times New Roman" w:hAnsi="Times New Roman" w:cs="Times New Roman"/>
          <w:sz w:val="24"/>
          <w:szCs w:val="24"/>
        </w:rPr>
        <w:t xml:space="preserve">de verliesverrekening. Ook in de vennootschapsbelasting moeten nieuwe regelingen geïntroduceerd worden als het alternatieve systeem doorgang vindt. In het geval dat een besloten vennootschap deelneemt in een personenvennootschap en op enig moment </w:t>
      </w:r>
      <w:r w:rsidR="003E7D74" w:rsidRPr="00EC01F6">
        <w:rPr>
          <w:rFonts w:ascii="Times New Roman" w:hAnsi="Times New Roman" w:cs="Times New Roman"/>
          <w:sz w:val="24"/>
          <w:szCs w:val="24"/>
        </w:rPr>
        <w:t>bedragen opneemt</w:t>
      </w:r>
      <w:r w:rsidR="00E201DE" w:rsidRPr="00EC01F6">
        <w:rPr>
          <w:rFonts w:ascii="Times New Roman" w:hAnsi="Times New Roman" w:cs="Times New Roman"/>
          <w:sz w:val="24"/>
          <w:szCs w:val="24"/>
        </w:rPr>
        <w:t>,</w:t>
      </w:r>
      <w:r w:rsidR="00734DF4" w:rsidRPr="00EC01F6">
        <w:rPr>
          <w:rFonts w:ascii="Times New Roman" w:hAnsi="Times New Roman" w:cs="Times New Roman"/>
          <w:sz w:val="24"/>
          <w:szCs w:val="24"/>
        </w:rPr>
        <w:t xml:space="preserve"> zal nagedacht moeten worden </w:t>
      </w:r>
      <w:r w:rsidR="00E201DE" w:rsidRPr="00EC01F6">
        <w:rPr>
          <w:rFonts w:ascii="Times New Roman" w:hAnsi="Times New Roman" w:cs="Times New Roman"/>
          <w:sz w:val="24"/>
          <w:szCs w:val="24"/>
        </w:rPr>
        <w:t>over</w:t>
      </w:r>
      <w:r w:rsidR="00734DF4" w:rsidRPr="00EC01F6">
        <w:rPr>
          <w:rFonts w:ascii="Times New Roman" w:hAnsi="Times New Roman" w:cs="Times New Roman"/>
          <w:sz w:val="24"/>
          <w:szCs w:val="24"/>
        </w:rPr>
        <w:t xml:space="preserve"> een regeling die vergelijkbaar is met de deelnemingsvrijstelling</w:t>
      </w:r>
      <w:r w:rsidR="00734DF4" w:rsidRPr="00EC01F6">
        <w:rPr>
          <w:rStyle w:val="Voetnootmarkering"/>
          <w:rFonts w:ascii="Times New Roman" w:hAnsi="Times New Roman" w:cs="Times New Roman"/>
          <w:sz w:val="24"/>
          <w:szCs w:val="24"/>
        </w:rPr>
        <w:footnoteReference w:id="28"/>
      </w:r>
      <w:r w:rsidR="00734DF4" w:rsidRPr="00EC01F6">
        <w:rPr>
          <w:rFonts w:ascii="Times New Roman" w:hAnsi="Times New Roman" w:cs="Times New Roman"/>
          <w:sz w:val="24"/>
          <w:szCs w:val="24"/>
        </w:rPr>
        <w:t>. Deze regeling voor deelnemingen in personenvennootschappen zal op zijn beurt weer complicaties in het nieuwe systeem importeren.</w:t>
      </w:r>
    </w:p>
    <w:p w14:paraId="4FD30620" w14:textId="085F1BB4" w:rsidR="00734DF4" w:rsidRPr="00EC01F6" w:rsidRDefault="00734DF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Ten tweede stipt de spreker aan dat het rapport vermeld</w:t>
      </w:r>
      <w:r w:rsidR="001B5699" w:rsidRPr="00EC01F6">
        <w:rPr>
          <w:rFonts w:ascii="Times New Roman" w:hAnsi="Times New Roman" w:cs="Times New Roman"/>
          <w:sz w:val="24"/>
          <w:szCs w:val="24"/>
        </w:rPr>
        <w:t>t</w:t>
      </w:r>
      <w:r w:rsidRPr="00EC01F6">
        <w:rPr>
          <w:rFonts w:ascii="Times New Roman" w:hAnsi="Times New Roman" w:cs="Times New Roman"/>
          <w:sz w:val="24"/>
          <w:szCs w:val="24"/>
        </w:rPr>
        <w:t xml:space="preserve"> dat het ondernemersbegrip kan komen te vervallen. Of dit daadwerkelijk kan, betwijfelt hij. Hoe zit het immers </w:t>
      </w:r>
      <w:r w:rsidR="00EA5292" w:rsidRPr="00EC01F6">
        <w:rPr>
          <w:rFonts w:ascii="Times New Roman" w:hAnsi="Times New Roman" w:cs="Times New Roman"/>
          <w:sz w:val="24"/>
          <w:szCs w:val="24"/>
        </w:rPr>
        <w:t xml:space="preserve">met de afbakening tussen de ondernemers- en de loonsfeer? Afschaffing van art. 3.5 Wet IB 2001, zoals de commissie voorstelt, kan wat Boer betreft – met instemming van de Tweede </w:t>
      </w:r>
      <w:r w:rsidR="00FA62F7" w:rsidRPr="00EC01F6">
        <w:rPr>
          <w:rFonts w:ascii="Times New Roman" w:hAnsi="Times New Roman" w:cs="Times New Roman"/>
          <w:sz w:val="24"/>
          <w:szCs w:val="24"/>
        </w:rPr>
        <w:t xml:space="preserve">en Eerste </w:t>
      </w:r>
      <w:r w:rsidR="00EA5292" w:rsidRPr="00EC01F6">
        <w:rPr>
          <w:rFonts w:ascii="Times New Roman" w:hAnsi="Times New Roman" w:cs="Times New Roman"/>
          <w:sz w:val="24"/>
          <w:szCs w:val="24"/>
        </w:rPr>
        <w:t>Kamer – vanmiddag al. Dit is dus geen winst die moet worden toegeschreven aan het alternatieve systeem, aldus Boer.</w:t>
      </w:r>
    </w:p>
    <w:p w14:paraId="6D9EDE2D" w14:textId="26DE7DB9" w:rsidR="00066338" w:rsidRPr="00EC01F6" w:rsidRDefault="0086006B"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Verder introduceert het alternatieve systeem – met twee fasen van belastingheffing – een mogelijkheid tot winstuitstel. Blijkens de bouwstene</w:t>
      </w:r>
      <w:r w:rsidR="00066338" w:rsidRPr="00EC01F6">
        <w:rPr>
          <w:rFonts w:ascii="Times New Roman" w:hAnsi="Times New Roman" w:cs="Times New Roman"/>
          <w:sz w:val="24"/>
          <w:szCs w:val="24"/>
        </w:rPr>
        <w:t>n</w:t>
      </w:r>
      <w:r w:rsidRPr="00EC01F6">
        <w:rPr>
          <w:rFonts w:ascii="Times New Roman" w:hAnsi="Times New Roman" w:cs="Times New Roman"/>
          <w:sz w:val="24"/>
          <w:szCs w:val="24"/>
        </w:rPr>
        <w:t>notitie</w:t>
      </w:r>
      <w:r w:rsidRPr="00EC01F6">
        <w:rPr>
          <w:rStyle w:val="Voetnootmarkering"/>
          <w:rFonts w:ascii="Times New Roman" w:hAnsi="Times New Roman" w:cs="Times New Roman"/>
          <w:sz w:val="24"/>
          <w:szCs w:val="24"/>
        </w:rPr>
        <w:footnoteReference w:id="29"/>
      </w:r>
      <w:r w:rsidRPr="00EC01F6">
        <w:rPr>
          <w:rFonts w:ascii="Times New Roman" w:hAnsi="Times New Roman" w:cs="Times New Roman"/>
          <w:sz w:val="24"/>
          <w:szCs w:val="24"/>
        </w:rPr>
        <w:t xml:space="preserve"> wordt winstuitstel de wacht aangezegd. Hoewel daar oplossingen voor te vinden zijn, is dit</w:t>
      </w:r>
      <w:r w:rsidR="004D2837" w:rsidRPr="00EC01F6">
        <w:rPr>
          <w:rFonts w:ascii="Times New Roman" w:hAnsi="Times New Roman" w:cs="Times New Roman"/>
          <w:sz w:val="24"/>
          <w:szCs w:val="24"/>
        </w:rPr>
        <w:t xml:space="preserve"> volgens de spreker</w:t>
      </w:r>
      <w:r w:rsidRPr="00EC01F6">
        <w:rPr>
          <w:rFonts w:ascii="Times New Roman" w:hAnsi="Times New Roman" w:cs="Times New Roman"/>
          <w:sz w:val="24"/>
          <w:szCs w:val="24"/>
        </w:rPr>
        <w:t xml:space="preserve"> wel een aspect van het nieuwe systeem dat besproken moet worden.</w:t>
      </w:r>
      <w:r w:rsidR="00066338" w:rsidRPr="00EC01F6">
        <w:rPr>
          <w:rFonts w:ascii="Times New Roman" w:hAnsi="Times New Roman" w:cs="Times New Roman"/>
          <w:sz w:val="24"/>
          <w:szCs w:val="24"/>
        </w:rPr>
        <w:t xml:space="preserve"> Daarnaast heeft</w:t>
      </w:r>
      <w:r w:rsidR="004D2837" w:rsidRPr="00EC01F6">
        <w:rPr>
          <w:rFonts w:ascii="Times New Roman" w:hAnsi="Times New Roman" w:cs="Times New Roman"/>
          <w:sz w:val="24"/>
          <w:szCs w:val="24"/>
        </w:rPr>
        <w:t xml:space="preserve"> Boer niet terug kunnen vinden in het rapport </w:t>
      </w:r>
      <w:r w:rsidR="00066338" w:rsidRPr="00EC01F6">
        <w:rPr>
          <w:rFonts w:ascii="Times New Roman" w:hAnsi="Times New Roman" w:cs="Times New Roman"/>
          <w:sz w:val="24"/>
          <w:szCs w:val="24"/>
        </w:rPr>
        <w:t>of</w:t>
      </w:r>
      <w:r w:rsidR="004D2837" w:rsidRPr="00EC01F6">
        <w:rPr>
          <w:rFonts w:ascii="Times New Roman" w:hAnsi="Times New Roman" w:cs="Times New Roman"/>
          <w:sz w:val="24"/>
          <w:szCs w:val="24"/>
        </w:rPr>
        <w:t xml:space="preserve"> het nieuwe systeem </w:t>
      </w:r>
      <w:r w:rsidR="00066338" w:rsidRPr="00EC01F6">
        <w:rPr>
          <w:rFonts w:ascii="Times New Roman" w:hAnsi="Times New Roman" w:cs="Times New Roman"/>
          <w:sz w:val="24"/>
          <w:szCs w:val="24"/>
        </w:rPr>
        <w:t xml:space="preserve">ook van toepassing wordt </w:t>
      </w:r>
      <w:r w:rsidR="004D2837" w:rsidRPr="00EC01F6">
        <w:rPr>
          <w:rFonts w:ascii="Times New Roman" w:hAnsi="Times New Roman" w:cs="Times New Roman"/>
          <w:sz w:val="24"/>
          <w:szCs w:val="24"/>
        </w:rPr>
        <w:t>op resultaat uit overige werkzaamheden.</w:t>
      </w:r>
    </w:p>
    <w:p w14:paraId="02BE5B6A" w14:textId="63D30A5A" w:rsidR="006C1F6F" w:rsidRPr="00EC01F6" w:rsidRDefault="006C1F6F"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Vervolgens kaart de spreker nog een aantal detailpunten aan die volgens hem meer </w:t>
      </w:r>
      <w:r w:rsidR="008C47D2" w:rsidRPr="00EC01F6">
        <w:rPr>
          <w:rFonts w:ascii="Times New Roman" w:hAnsi="Times New Roman" w:cs="Times New Roman"/>
          <w:sz w:val="24"/>
          <w:szCs w:val="24"/>
        </w:rPr>
        <w:t xml:space="preserve">uitwerking </w:t>
      </w:r>
      <w:r w:rsidRPr="00EC01F6">
        <w:rPr>
          <w:rFonts w:ascii="Times New Roman" w:hAnsi="Times New Roman" w:cs="Times New Roman"/>
          <w:sz w:val="24"/>
          <w:szCs w:val="24"/>
        </w:rPr>
        <w:t xml:space="preserve">verdienen. Zo is er de verschillende uitwerking </w:t>
      </w:r>
      <w:r w:rsidR="00580241" w:rsidRPr="00EC01F6">
        <w:rPr>
          <w:rFonts w:ascii="Times New Roman" w:hAnsi="Times New Roman" w:cs="Times New Roman"/>
          <w:sz w:val="24"/>
          <w:szCs w:val="24"/>
        </w:rPr>
        <w:t xml:space="preserve">tussen de persnonenvennootschapsbenadering en de objectieve ondernemingsbenadering als uitgangspunt van het nieuwe systeem. </w:t>
      </w:r>
      <w:r w:rsidR="0074745F" w:rsidRPr="00EC01F6">
        <w:rPr>
          <w:rFonts w:ascii="Times New Roman" w:hAnsi="Times New Roman" w:cs="Times New Roman"/>
          <w:sz w:val="24"/>
          <w:szCs w:val="24"/>
        </w:rPr>
        <w:t>En</w:t>
      </w:r>
      <w:r w:rsidR="00580241" w:rsidRPr="00EC01F6">
        <w:rPr>
          <w:rFonts w:ascii="Times New Roman" w:hAnsi="Times New Roman" w:cs="Times New Roman"/>
          <w:sz w:val="24"/>
          <w:szCs w:val="24"/>
        </w:rPr>
        <w:t xml:space="preserve"> </w:t>
      </w:r>
      <w:r w:rsidR="00FA62F7" w:rsidRPr="00EC01F6">
        <w:rPr>
          <w:rFonts w:ascii="Times New Roman" w:hAnsi="Times New Roman" w:cs="Times New Roman"/>
          <w:sz w:val="24"/>
          <w:szCs w:val="24"/>
        </w:rPr>
        <w:t xml:space="preserve">er </w:t>
      </w:r>
      <w:r w:rsidR="00580241" w:rsidRPr="00EC01F6">
        <w:rPr>
          <w:rFonts w:ascii="Times New Roman" w:hAnsi="Times New Roman" w:cs="Times New Roman"/>
          <w:sz w:val="24"/>
          <w:szCs w:val="24"/>
        </w:rPr>
        <w:t>zal een doorschuifregeling geïntroduceerd moeten worden in het geval de personenvennootschapsbenadering wordt gekozen als uitgangspunt.</w:t>
      </w:r>
      <w:r w:rsidR="0074745F" w:rsidRPr="00EC01F6">
        <w:rPr>
          <w:rFonts w:ascii="Times New Roman" w:hAnsi="Times New Roman" w:cs="Times New Roman"/>
          <w:sz w:val="24"/>
          <w:szCs w:val="24"/>
        </w:rPr>
        <w:t xml:space="preserve"> Z</w:t>
      </w:r>
      <w:r w:rsidR="00580241" w:rsidRPr="00EC01F6">
        <w:rPr>
          <w:rFonts w:ascii="Times New Roman" w:hAnsi="Times New Roman" w:cs="Times New Roman"/>
          <w:sz w:val="24"/>
          <w:szCs w:val="24"/>
        </w:rPr>
        <w:t xml:space="preserve">o’n regeling hebben we nu ook al, dus rijst de vraag waar de winst van het nieuwe ten opzichte </w:t>
      </w:r>
      <w:r w:rsidR="00FA62F7" w:rsidRPr="00EC01F6">
        <w:rPr>
          <w:rFonts w:ascii="Times New Roman" w:hAnsi="Times New Roman" w:cs="Times New Roman"/>
          <w:sz w:val="24"/>
          <w:szCs w:val="24"/>
        </w:rPr>
        <w:t xml:space="preserve">van </w:t>
      </w:r>
      <w:r w:rsidR="00580241" w:rsidRPr="00EC01F6">
        <w:rPr>
          <w:rFonts w:ascii="Times New Roman" w:hAnsi="Times New Roman" w:cs="Times New Roman"/>
          <w:sz w:val="24"/>
          <w:szCs w:val="24"/>
        </w:rPr>
        <w:t>het huidige systeem zit.</w:t>
      </w:r>
    </w:p>
    <w:p w14:paraId="5BC596BF" w14:textId="27B5EF46" w:rsidR="00505827" w:rsidRDefault="00585A1E"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Boer vraagt zich </w:t>
      </w:r>
      <w:r w:rsidR="008C47D2" w:rsidRPr="00EC01F6">
        <w:rPr>
          <w:rFonts w:ascii="Times New Roman" w:hAnsi="Times New Roman" w:cs="Times New Roman"/>
          <w:sz w:val="24"/>
          <w:szCs w:val="24"/>
        </w:rPr>
        <w:t xml:space="preserve">voorts </w:t>
      </w:r>
      <w:r w:rsidRPr="00EC01F6">
        <w:rPr>
          <w:rFonts w:ascii="Times New Roman" w:hAnsi="Times New Roman" w:cs="Times New Roman"/>
          <w:sz w:val="24"/>
          <w:szCs w:val="24"/>
        </w:rPr>
        <w:t xml:space="preserve">af hoe de verzelfstandigingsgedachte (iedere personenvennootschap staat op zich) </w:t>
      </w:r>
      <w:r w:rsidR="0074745F" w:rsidRPr="00EC01F6">
        <w:rPr>
          <w:rFonts w:ascii="Times New Roman" w:hAnsi="Times New Roman" w:cs="Times New Roman"/>
          <w:sz w:val="24"/>
          <w:szCs w:val="24"/>
        </w:rPr>
        <w:t xml:space="preserve">kan worden verenigd </w:t>
      </w:r>
      <w:r w:rsidRPr="00EC01F6">
        <w:rPr>
          <w:rFonts w:ascii="Times New Roman" w:hAnsi="Times New Roman" w:cs="Times New Roman"/>
          <w:sz w:val="24"/>
          <w:szCs w:val="24"/>
        </w:rPr>
        <w:t>met de samentelling van meer dan één onderneming bij een belastingplichtige</w:t>
      </w:r>
      <w:r w:rsidR="00FA62F7" w:rsidRPr="00EC01F6">
        <w:rPr>
          <w:rFonts w:ascii="Times New Roman" w:hAnsi="Times New Roman" w:cs="Times New Roman"/>
          <w:sz w:val="24"/>
          <w:szCs w:val="24"/>
        </w:rPr>
        <w:t>.</w:t>
      </w:r>
      <w:r w:rsidR="00C53AB4" w:rsidRPr="00EC01F6">
        <w:rPr>
          <w:rFonts w:ascii="Times New Roman" w:hAnsi="Times New Roman" w:cs="Times New Roman"/>
          <w:sz w:val="24"/>
          <w:szCs w:val="24"/>
        </w:rPr>
        <w:t xml:space="preserve"> </w:t>
      </w:r>
      <w:r w:rsidR="008C47D2" w:rsidRPr="00EC01F6">
        <w:rPr>
          <w:rFonts w:ascii="Times New Roman" w:hAnsi="Times New Roman" w:cs="Times New Roman"/>
          <w:sz w:val="24"/>
          <w:szCs w:val="24"/>
        </w:rPr>
        <w:t>Weer een andere vraag is a</w:t>
      </w:r>
      <w:r w:rsidR="00C53AB4" w:rsidRPr="00EC01F6">
        <w:rPr>
          <w:rFonts w:ascii="Times New Roman" w:hAnsi="Times New Roman" w:cs="Times New Roman"/>
          <w:sz w:val="24"/>
          <w:szCs w:val="24"/>
        </w:rPr>
        <w:t xml:space="preserve">an de hand van welke winstgerechtigdheid de toerekening </w:t>
      </w:r>
      <w:r w:rsidR="008C47D2" w:rsidRPr="00EC01F6">
        <w:rPr>
          <w:rFonts w:ascii="Times New Roman" w:hAnsi="Times New Roman" w:cs="Times New Roman"/>
          <w:sz w:val="24"/>
          <w:szCs w:val="24"/>
        </w:rPr>
        <w:t xml:space="preserve">wordt </w:t>
      </w:r>
      <w:r w:rsidR="00C53AB4" w:rsidRPr="00EC01F6">
        <w:rPr>
          <w:rFonts w:ascii="Times New Roman" w:hAnsi="Times New Roman" w:cs="Times New Roman"/>
          <w:sz w:val="24"/>
          <w:szCs w:val="24"/>
        </w:rPr>
        <w:t xml:space="preserve">bepaald? </w:t>
      </w:r>
      <w:r w:rsidR="008C47D2" w:rsidRPr="00EC01F6">
        <w:rPr>
          <w:rFonts w:ascii="Times New Roman" w:hAnsi="Times New Roman" w:cs="Times New Roman"/>
          <w:sz w:val="24"/>
          <w:szCs w:val="24"/>
        </w:rPr>
        <w:t xml:space="preserve">Welke invloed hebben verschillen tussen de gerechtigdheid tot de jaar- en liquidatiewinst? </w:t>
      </w:r>
      <w:r w:rsidR="00C53AB4" w:rsidRPr="00EC01F6">
        <w:rPr>
          <w:rFonts w:ascii="Times New Roman" w:hAnsi="Times New Roman" w:cs="Times New Roman"/>
          <w:sz w:val="24"/>
          <w:szCs w:val="24"/>
        </w:rPr>
        <w:t>Hoe zit het met voorbehouden op stille reserves en goodwill?</w:t>
      </w:r>
      <w:r w:rsidR="00505827">
        <w:rPr>
          <w:rFonts w:ascii="Times New Roman" w:hAnsi="Times New Roman" w:cs="Times New Roman"/>
          <w:sz w:val="24"/>
          <w:szCs w:val="24"/>
        </w:rPr>
        <w:t xml:space="preserve"> </w:t>
      </w:r>
      <w:r w:rsidR="008C47D2" w:rsidRPr="00EC01F6">
        <w:rPr>
          <w:rFonts w:ascii="Times New Roman" w:hAnsi="Times New Roman" w:cs="Times New Roman"/>
          <w:sz w:val="24"/>
          <w:szCs w:val="24"/>
        </w:rPr>
        <w:t>T</w:t>
      </w:r>
      <w:r w:rsidR="00C53AB4" w:rsidRPr="00EC01F6">
        <w:rPr>
          <w:rFonts w:ascii="Times New Roman" w:hAnsi="Times New Roman" w:cs="Times New Roman"/>
          <w:sz w:val="24"/>
          <w:szCs w:val="24"/>
        </w:rPr>
        <w:t>en</w:t>
      </w:r>
      <w:r w:rsidR="00FA62F7" w:rsidRPr="00EC01F6">
        <w:rPr>
          <w:rFonts w:ascii="Times New Roman" w:hAnsi="Times New Roman" w:cs="Times New Roman"/>
          <w:sz w:val="24"/>
          <w:szCs w:val="24"/>
        </w:rPr>
        <w:t xml:space="preserve"> </w:t>
      </w:r>
      <w:r w:rsidR="00C53AB4" w:rsidRPr="00EC01F6">
        <w:rPr>
          <w:rFonts w:ascii="Times New Roman" w:hAnsi="Times New Roman" w:cs="Times New Roman"/>
          <w:sz w:val="24"/>
          <w:szCs w:val="24"/>
        </w:rPr>
        <w:t xml:space="preserve">slotte </w:t>
      </w:r>
      <w:r w:rsidR="008C47D2" w:rsidRPr="00EC01F6">
        <w:rPr>
          <w:rFonts w:ascii="Times New Roman" w:hAnsi="Times New Roman" w:cs="Times New Roman"/>
          <w:sz w:val="24"/>
          <w:szCs w:val="24"/>
        </w:rPr>
        <w:t xml:space="preserve">is </w:t>
      </w:r>
      <w:r w:rsidR="00C53AB4" w:rsidRPr="00EC01F6">
        <w:rPr>
          <w:rFonts w:ascii="Times New Roman" w:hAnsi="Times New Roman" w:cs="Times New Roman"/>
          <w:sz w:val="24"/>
          <w:szCs w:val="24"/>
        </w:rPr>
        <w:t xml:space="preserve">de vraag van de spreker </w:t>
      </w:r>
      <w:r w:rsidR="008C47D2" w:rsidRPr="00EC01F6">
        <w:rPr>
          <w:rFonts w:ascii="Times New Roman" w:hAnsi="Times New Roman" w:cs="Times New Roman"/>
          <w:sz w:val="24"/>
          <w:szCs w:val="24"/>
        </w:rPr>
        <w:t>of hij het goed ziet dat</w:t>
      </w:r>
      <w:r w:rsidR="00C53AB4" w:rsidRPr="00EC01F6">
        <w:rPr>
          <w:rFonts w:ascii="Times New Roman" w:hAnsi="Times New Roman" w:cs="Times New Roman"/>
          <w:sz w:val="24"/>
          <w:szCs w:val="24"/>
        </w:rPr>
        <w:t xml:space="preserve"> </w:t>
      </w:r>
      <w:r w:rsidR="00545684" w:rsidRPr="00EC01F6">
        <w:rPr>
          <w:rFonts w:ascii="Times New Roman" w:hAnsi="Times New Roman" w:cs="Times New Roman"/>
          <w:sz w:val="24"/>
          <w:szCs w:val="24"/>
        </w:rPr>
        <w:t>in het nieuwe systeem</w:t>
      </w:r>
      <w:r w:rsidR="008C47D2" w:rsidRPr="00EC01F6">
        <w:rPr>
          <w:rFonts w:ascii="Times New Roman" w:hAnsi="Times New Roman" w:cs="Times New Roman"/>
          <w:sz w:val="24"/>
          <w:szCs w:val="24"/>
        </w:rPr>
        <w:t xml:space="preserve"> de</w:t>
      </w:r>
      <w:r w:rsidR="00545684" w:rsidRPr="00EC01F6">
        <w:rPr>
          <w:rFonts w:ascii="Times New Roman" w:hAnsi="Times New Roman" w:cs="Times New Roman"/>
          <w:sz w:val="24"/>
          <w:szCs w:val="24"/>
        </w:rPr>
        <w:t xml:space="preserve"> </w:t>
      </w:r>
      <w:r w:rsidR="00C53AB4" w:rsidRPr="00EC01F6">
        <w:rPr>
          <w:rFonts w:ascii="Times New Roman" w:hAnsi="Times New Roman" w:cs="Times New Roman"/>
          <w:sz w:val="24"/>
          <w:szCs w:val="24"/>
        </w:rPr>
        <w:t xml:space="preserve">inbreng van een eenmanszaak tegen de waarde in het economische verkeer leidt tot afrekening </w:t>
      </w:r>
      <w:r w:rsidR="008C47D2" w:rsidRPr="00EC01F6">
        <w:rPr>
          <w:rFonts w:ascii="Times New Roman" w:hAnsi="Times New Roman" w:cs="Times New Roman"/>
          <w:sz w:val="24"/>
          <w:szCs w:val="24"/>
        </w:rPr>
        <w:t xml:space="preserve">over </w:t>
      </w:r>
      <w:r w:rsidR="00C53AB4" w:rsidRPr="00EC01F6">
        <w:rPr>
          <w:rFonts w:ascii="Times New Roman" w:hAnsi="Times New Roman" w:cs="Times New Roman"/>
          <w:sz w:val="24"/>
          <w:szCs w:val="24"/>
        </w:rPr>
        <w:t>het behouden belang</w:t>
      </w:r>
      <w:r w:rsidR="00FA62F7" w:rsidRPr="00EC01F6">
        <w:rPr>
          <w:rFonts w:ascii="Times New Roman" w:hAnsi="Times New Roman" w:cs="Times New Roman"/>
          <w:sz w:val="24"/>
          <w:szCs w:val="24"/>
        </w:rPr>
        <w:t>.</w:t>
      </w:r>
      <w:r w:rsidR="00C53AB4" w:rsidRPr="00EC01F6">
        <w:rPr>
          <w:rFonts w:ascii="Times New Roman" w:hAnsi="Times New Roman" w:cs="Times New Roman"/>
          <w:sz w:val="24"/>
          <w:szCs w:val="24"/>
        </w:rPr>
        <w:t xml:space="preserve"> </w:t>
      </w:r>
      <w:r w:rsidR="00545684" w:rsidRPr="00EC01F6">
        <w:rPr>
          <w:rFonts w:ascii="Times New Roman" w:hAnsi="Times New Roman" w:cs="Times New Roman"/>
          <w:sz w:val="24"/>
          <w:szCs w:val="24"/>
        </w:rPr>
        <w:t xml:space="preserve">De spreker denkt dat dit inderdaad </w:t>
      </w:r>
      <w:r w:rsidR="008C47D2" w:rsidRPr="00EC01F6">
        <w:rPr>
          <w:rFonts w:ascii="Times New Roman" w:hAnsi="Times New Roman" w:cs="Times New Roman"/>
          <w:sz w:val="24"/>
          <w:szCs w:val="24"/>
        </w:rPr>
        <w:t>het geval is</w:t>
      </w:r>
      <w:r w:rsidR="00505827">
        <w:rPr>
          <w:rFonts w:ascii="Times New Roman" w:hAnsi="Times New Roman" w:cs="Times New Roman"/>
          <w:sz w:val="24"/>
          <w:szCs w:val="24"/>
        </w:rPr>
        <w:t xml:space="preserve"> </w:t>
      </w:r>
      <w:r w:rsidR="00545684" w:rsidRPr="00EC01F6">
        <w:rPr>
          <w:rFonts w:ascii="Times New Roman" w:hAnsi="Times New Roman" w:cs="Times New Roman"/>
          <w:sz w:val="24"/>
          <w:szCs w:val="24"/>
        </w:rPr>
        <w:t xml:space="preserve">en dat is wat hem betreft een verslechtering </w:t>
      </w:r>
      <w:r w:rsidR="00B51F26" w:rsidRPr="00EC01F6">
        <w:rPr>
          <w:rFonts w:ascii="Times New Roman" w:hAnsi="Times New Roman" w:cs="Times New Roman"/>
          <w:sz w:val="24"/>
          <w:szCs w:val="24"/>
        </w:rPr>
        <w:t>ten opzichte van</w:t>
      </w:r>
      <w:r w:rsidR="00545684" w:rsidRPr="00EC01F6">
        <w:rPr>
          <w:rFonts w:ascii="Times New Roman" w:hAnsi="Times New Roman" w:cs="Times New Roman"/>
          <w:sz w:val="24"/>
          <w:szCs w:val="24"/>
        </w:rPr>
        <w:t xml:space="preserve"> het huidige systeem</w:t>
      </w:r>
      <w:r w:rsidR="00050701" w:rsidRPr="00EC01F6">
        <w:rPr>
          <w:rFonts w:ascii="Times New Roman" w:hAnsi="Times New Roman" w:cs="Times New Roman"/>
          <w:sz w:val="24"/>
          <w:szCs w:val="24"/>
        </w:rPr>
        <w:t xml:space="preserve"> waarbij het behouden belang niet geherwaardeerd hoeft te worden.</w:t>
      </w:r>
    </w:p>
    <w:p w14:paraId="09A9276D" w14:textId="77777777" w:rsidR="00505827" w:rsidRDefault="00505827">
      <w:pPr>
        <w:rPr>
          <w:rFonts w:ascii="Times New Roman" w:hAnsi="Times New Roman" w:cs="Times New Roman"/>
          <w:sz w:val="24"/>
          <w:szCs w:val="24"/>
        </w:rPr>
      </w:pPr>
      <w:r>
        <w:rPr>
          <w:rFonts w:ascii="Times New Roman" w:hAnsi="Times New Roman" w:cs="Times New Roman"/>
          <w:sz w:val="24"/>
          <w:szCs w:val="24"/>
        </w:rPr>
        <w:br w:type="page"/>
      </w:r>
    </w:p>
    <w:p w14:paraId="463501CB" w14:textId="77777777" w:rsidR="00C53AB4" w:rsidRPr="00EC01F6" w:rsidRDefault="00892C32" w:rsidP="00EC01F6">
      <w:pPr>
        <w:ind w:left="360"/>
        <w:rPr>
          <w:rFonts w:ascii="Times New Roman" w:hAnsi="Times New Roman" w:cs="Times New Roman"/>
          <w:i/>
          <w:sz w:val="24"/>
          <w:szCs w:val="24"/>
        </w:rPr>
      </w:pPr>
      <w:r w:rsidRPr="00EC01F6">
        <w:rPr>
          <w:rFonts w:ascii="Times New Roman" w:hAnsi="Times New Roman" w:cs="Times New Roman"/>
          <w:i/>
          <w:sz w:val="24"/>
          <w:szCs w:val="24"/>
        </w:rPr>
        <w:lastRenderedPageBreak/>
        <w:t>3.4 Vennootschapsbelasting</w:t>
      </w:r>
      <w:r w:rsidR="008A7824" w:rsidRPr="00EC01F6">
        <w:rPr>
          <w:rFonts w:ascii="Times New Roman" w:hAnsi="Times New Roman" w:cs="Times New Roman"/>
          <w:i/>
          <w:sz w:val="24"/>
          <w:szCs w:val="24"/>
        </w:rPr>
        <w:t xml:space="preserve"> knelpunten</w:t>
      </w:r>
    </w:p>
    <w:p w14:paraId="7A92A282" w14:textId="108A77D7" w:rsidR="00892C32" w:rsidRPr="00EC01F6" w:rsidRDefault="00892C32"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Ook het deel over de vennootschapsbelasting heeft Boer met veel plezier gelezen.</w:t>
      </w:r>
      <w:r w:rsidR="00E15116" w:rsidRPr="00EC01F6">
        <w:rPr>
          <w:rFonts w:ascii="Times New Roman" w:hAnsi="Times New Roman" w:cs="Times New Roman"/>
          <w:sz w:val="24"/>
          <w:szCs w:val="24"/>
        </w:rPr>
        <w:t xml:space="preserve"> De rechtsgrondslag voor (de belastingplicht in) de vennootschapsbelasting is inderdaad onduidelijk.</w:t>
      </w:r>
      <w:r w:rsidR="00C62E63" w:rsidRPr="00EC01F6">
        <w:rPr>
          <w:rFonts w:ascii="Times New Roman" w:hAnsi="Times New Roman" w:cs="Times New Roman"/>
          <w:sz w:val="24"/>
          <w:szCs w:val="24"/>
        </w:rPr>
        <w:t xml:space="preserve"> Tegelijkertijd is er wel consensus ontstaan over de huidige systematiek, ook al is die niet consequent. Hoewel er altijd </w:t>
      </w:r>
      <w:r w:rsidR="00C62E63" w:rsidRPr="00EC01F6">
        <w:rPr>
          <w:rFonts w:ascii="Times New Roman" w:hAnsi="Times New Roman" w:cs="Times New Roman"/>
          <w:i/>
          <w:sz w:val="24"/>
          <w:szCs w:val="24"/>
        </w:rPr>
        <w:t>outliers</w:t>
      </w:r>
      <w:r w:rsidR="00C62E63" w:rsidRPr="00EC01F6">
        <w:rPr>
          <w:rFonts w:ascii="Times New Roman" w:hAnsi="Times New Roman" w:cs="Times New Roman"/>
          <w:sz w:val="24"/>
          <w:szCs w:val="24"/>
        </w:rPr>
        <w:t xml:space="preserve"> zoals de </w:t>
      </w:r>
      <w:r w:rsidR="0074745F" w:rsidRPr="00EC01F6">
        <w:rPr>
          <w:rFonts w:ascii="Times New Roman" w:hAnsi="Times New Roman" w:cs="Times New Roman"/>
          <w:sz w:val="24"/>
          <w:szCs w:val="24"/>
        </w:rPr>
        <w:t>LLPs</w:t>
      </w:r>
      <w:r w:rsidR="00C62E63" w:rsidRPr="00EC01F6">
        <w:rPr>
          <w:rFonts w:ascii="Times New Roman" w:hAnsi="Times New Roman" w:cs="Times New Roman"/>
          <w:sz w:val="24"/>
          <w:szCs w:val="24"/>
        </w:rPr>
        <w:t xml:space="preserve"> en SNCs zullen zijn, kan volgens Boer niet gezegd worden dat </w:t>
      </w:r>
      <w:r w:rsidR="008C47D2" w:rsidRPr="00EC01F6">
        <w:rPr>
          <w:rFonts w:ascii="Times New Roman" w:hAnsi="Times New Roman" w:cs="Times New Roman"/>
          <w:sz w:val="24"/>
          <w:szCs w:val="24"/>
        </w:rPr>
        <w:t>het classificatieraamwerk op dit moment niet bekend is.</w:t>
      </w:r>
    </w:p>
    <w:p w14:paraId="6671464B" w14:textId="77777777" w:rsidR="00C62E63" w:rsidRPr="00EC01F6" w:rsidRDefault="00C62E63"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Belastingplichtige lichamen voor de vennootschapsbelasting zijn volgens de spreker onder te verdelen in twee groepen: i) klassieke rechtspersonen (A+B-lichamen; afgescheiden vermogen en </w:t>
      </w:r>
      <w:r w:rsidR="00601948" w:rsidRPr="00EC01F6">
        <w:rPr>
          <w:rFonts w:ascii="Times New Roman" w:hAnsi="Times New Roman" w:cs="Times New Roman"/>
          <w:sz w:val="24"/>
          <w:szCs w:val="24"/>
        </w:rPr>
        <w:t>aansprakelijkheid)</w:t>
      </w:r>
      <w:r w:rsidRPr="00EC01F6">
        <w:rPr>
          <w:rFonts w:ascii="Times New Roman" w:hAnsi="Times New Roman" w:cs="Times New Roman"/>
          <w:sz w:val="24"/>
          <w:szCs w:val="24"/>
        </w:rPr>
        <w:t>;</w:t>
      </w:r>
      <w:r w:rsidR="00601948" w:rsidRPr="00EC01F6">
        <w:rPr>
          <w:rFonts w:ascii="Times New Roman" w:hAnsi="Times New Roman" w:cs="Times New Roman"/>
          <w:sz w:val="24"/>
          <w:szCs w:val="24"/>
        </w:rPr>
        <w:t xml:space="preserve"> en</w:t>
      </w:r>
      <w:r w:rsidRPr="00EC01F6">
        <w:rPr>
          <w:rFonts w:ascii="Times New Roman" w:hAnsi="Times New Roman" w:cs="Times New Roman"/>
          <w:sz w:val="24"/>
          <w:szCs w:val="24"/>
        </w:rPr>
        <w:t xml:space="preserve"> ii</w:t>
      </w:r>
      <w:r w:rsidR="00601948" w:rsidRPr="00EC01F6">
        <w:rPr>
          <w:rFonts w:ascii="Times New Roman" w:hAnsi="Times New Roman" w:cs="Times New Roman"/>
          <w:sz w:val="24"/>
          <w:szCs w:val="24"/>
        </w:rPr>
        <w:t>) open rechtsvormen (</w:t>
      </w:r>
      <w:r w:rsidR="00601948" w:rsidRPr="00EC01F6">
        <w:rPr>
          <w:rFonts w:ascii="Times New Roman" w:hAnsi="Times New Roman" w:cs="Times New Roman"/>
          <w:i/>
          <w:sz w:val="24"/>
          <w:szCs w:val="24"/>
        </w:rPr>
        <w:t>corporate resemblance</w:t>
      </w:r>
      <w:r w:rsidR="00601948" w:rsidRPr="00EC01F6">
        <w:rPr>
          <w:rFonts w:ascii="Times New Roman" w:hAnsi="Times New Roman" w:cs="Times New Roman"/>
          <w:sz w:val="24"/>
          <w:szCs w:val="24"/>
        </w:rPr>
        <w:t>; geen binding tussen de participant en rechtsvorm; de rechtsvorm staat op zichzelf).</w:t>
      </w:r>
      <w:r w:rsidR="00E232DD" w:rsidRPr="00EC01F6">
        <w:rPr>
          <w:rFonts w:ascii="Times New Roman" w:hAnsi="Times New Roman" w:cs="Times New Roman"/>
          <w:sz w:val="24"/>
          <w:szCs w:val="24"/>
        </w:rPr>
        <w:t xml:space="preserve"> Dit is neergelegd in het kwalificatiebesluit.</w:t>
      </w:r>
    </w:p>
    <w:p w14:paraId="22A288D5" w14:textId="53E2F634" w:rsidR="00E232DD" w:rsidRPr="00EC01F6" w:rsidRDefault="00E232DD"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Het rapport noemt een aantal knelpunten die eigenlijk terug te voeren zijn op de vraag wat de criteria C en D van het kwalificatiebesluit inhouden. Boer mist in het rapport de vraag naar het aansprakelijkheidscriterium (B). Verder merkt hij op dat het in het rapport gesignaleerde verschil tussen art. 2 en </w:t>
      </w:r>
      <w:r w:rsidR="001D052C" w:rsidRPr="00EC01F6">
        <w:rPr>
          <w:rFonts w:ascii="Times New Roman" w:hAnsi="Times New Roman" w:cs="Times New Roman"/>
          <w:sz w:val="24"/>
          <w:szCs w:val="24"/>
        </w:rPr>
        <w:t xml:space="preserve">art. </w:t>
      </w:r>
      <w:r w:rsidRPr="00EC01F6">
        <w:rPr>
          <w:rFonts w:ascii="Times New Roman" w:hAnsi="Times New Roman" w:cs="Times New Roman"/>
          <w:sz w:val="24"/>
          <w:szCs w:val="24"/>
        </w:rPr>
        <w:t>3 Wet V</w:t>
      </w:r>
      <w:r w:rsidR="001D052C" w:rsidRPr="00EC01F6">
        <w:rPr>
          <w:rFonts w:ascii="Times New Roman" w:hAnsi="Times New Roman" w:cs="Times New Roman"/>
          <w:sz w:val="24"/>
          <w:szCs w:val="24"/>
        </w:rPr>
        <w:t>p</w:t>
      </w:r>
      <w:r w:rsidRPr="00EC01F6">
        <w:rPr>
          <w:rFonts w:ascii="Times New Roman" w:hAnsi="Times New Roman" w:cs="Times New Roman"/>
          <w:sz w:val="24"/>
          <w:szCs w:val="24"/>
        </w:rPr>
        <w:t xml:space="preserve">B 1969 al 40 jaar als probleem is aangemerkt door de fiscale wetenschap. </w:t>
      </w:r>
      <w:r w:rsidR="008A7824" w:rsidRPr="00EC01F6">
        <w:rPr>
          <w:rFonts w:ascii="Times New Roman" w:hAnsi="Times New Roman" w:cs="Times New Roman"/>
          <w:sz w:val="24"/>
          <w:szCs w:val="24"/>
        </w:rPr>
        <w:t>Misschien ligt de oplossing wat dit betreft niet</w:t>
      </w:r>
      <w:r w:rsidR="008C47D2" w:rsidRPr="00EC01F6">
        <w:rPr>
          <w:rFonts w:ascii="Times New Roman" w:hAnsi="Times New Roman" w:cs="Times New Roman"/>
          <w:sz w:val="24"/>
          <w:szCs w:val="24"/>
        </w:rPr>
        <w:t xml:space="preserve"> (meer)</w:t>
      </w:r>
      <w:r w:rsidR="008A7824" w:rsidRPr="00EC01F6">
        <w:rPr>
          <w:rFonts w:ascii="Times New Roman" w:hAnsi="Times New Roman" w:cs="Times New Roman"/>
          <w:sz w:val="24"/>
          <w:szCs w:val="24"/>
        </w:rPr>
        <w:t xml:space="preserve"> bij de wetenschap</w:t>
      </w:r>
      <w:r w:rsidR="008C47D2" w:rsidRPr="00EC01F6">
        <w:rPr>
          <w:rFonts w:ascii="Times New Roman" w:hAnsi="Times New Roman" w:cs="Times New Roman"/>
          <w:sz w:val="24"/>
          <w:szCs w:val="24"/>
        </w:rPr>
        <w:t>, maar dient de wetgever tot actie over te gaan en d</w:t>
      </w:r>
      <w:r w:rsidR="00505827">
        <w:rPr>
          <w:rFonts w:ascii="Times New Roman" w:hAnsi="Times New Roman" w:cs="Times New Roman"/>
          <w:sz w:val="24"/>
          <w:szCs w:val="24"/>
        </w:rPr>
        <w:t>i</w:t>
      </w:r>
      <w:r w:rsidR="008C47D2" w:rsidRPr="00EC01F6">
        <w:rPr>
          <w:rFonts w:ascii="Times New Roman" w:hAnsi="Times New Roman" w:cs="Times New Roman"/>
          <w:sz w:val="24"/>
          <w:szCs w:val="24"/>
        </w:rPr>
        <w:t>t gelijk te trekken.</w:t>
      </w:r>
      <w:r w:rsidR="008A7824" w:rsidRPr="00EC01F6">
        <w:rPr>
          <w:rFonts w:ascii="Times New Roman" w:hAnsi="Times New Roman" w:cs="Times New Roman"/>
          <w:sz w:val="24"/>
          <w:szCs w:val="24"/>
        </w:rPr>
        <w:t xml:space="preserve"> </w:t>
      </w:r>
      <w:r w:rsidRPr="00EC01F6">
        <w:rPr>
          <w:rFonts w:ascii="Times New Roman" w:hAnsi="Times New Roman" w:cs="Times New Roman"/>
          <w:sz w:val="24"/>
          <w:szCs w:val="24"/>
        </w:rPr>
        <w:t>Een ander probleem in die categorie is de aftrek voor de beherende vennoot in de open-cv</w:t>
      </w:r>
      <w:r w:rsidRPr="00EC01F6">
        <w:rPr>
          <w:rStyle w:val="Voetnootmarkering"/>
          <w:rFonts w:ascii="Times New Roman" w:hAnsi="Times New Roman" w:cs="Times New Roman"/>
          <w:sz w:val="24"/>
          <w:szCs w:val="24"/>
        </w:rPr>
        <w:footnoteReference w:id="30"/>
      </w:r>
      <w:r w:rsidRPr="00EC01F6">
        <w:rPr>
          <w:rFonts w:ascii="Times New Roman" w:hAnsi="Times New Roman" w:cs="Times New Roman"/>
          <w:sz w:val="24"/>
          <w:szCs w:val="24"/>
        </w:rPr>
        <w:t xml:space="preserve">: wat doet die bepaling nog in de wet sinds </w:t>
      </w:r>
      <w:r w:rsidRPr="00EC01F6">
        <w:rPr>
          <w:rFonts w:ascii="Times New Roman" w:hAnsi="Times New Roman" w:cs="Times New Roman"/>
          <w:i/>
          <w:sz w:val="24"/>
          <w:szCs w:val="24"/>
        </w:rPr>
        <w:t>BNB</w:t>
      </w:r>
      <w:r w:rsidR="008A7824" w:rsidRPr="00EC01F6">
        <w:rPr>
          <w:rFonts w:ascii="Times New Roman" w:hAnsi="Times New Roman" w:cs="Times New Roman"/>
          <w:sz w:val="24"/>
          <w:szCs w:val="24"/>
        </w:rPr>
        <w:t xml:space="preserve"> 19</w:t>
      </w:r>
      <w:r w:rsidR="004E281B" w:rsidRPr="00EC01F6">
        <w:rPr>
          <w:rFonts w:ascii="Times New Roman" w:hAnsi="Times New Roman" w:cs="Times New Roman"/>
          <w:sz w:val="24"/>
          <w:szCs w:val="24"/>
        </w:rPr>
        <w:t>82</w:t>
      </w:r>
      <w:r w:rsidR="008A7824" w:rsidRPr="00EC01F6">
        <w:rPr>
          <w:rFonts w:ascii="Times New Roman" w:hAnsi="Times New Roman" w:cs="Times New Roman"/>
          <w:sz w:val="24"/>
          <w:szCs w:val="24"/>
        </w:rPr>
        <w:t>/2</w:t>
      </w:r>
      <w:r w:rsidR="004E281B" w:rsidRPr="00EC01F6">
        <w:rPr>
          <w:rFonts w:ascii="Times New Roman" w:hAnsi="Times New Roman" w:cs="Times New Roman"/>
          <w:sz w:val="24"/>
          <w:szCs w:val="24"/>
        </w:rPr>
        <w:t>68</w:t>
      </w:r>
      <w:r w:rsidR="008A7824" w:rsidRPr="00EC01F6">
        <w:rPr>
          <w:rFonts w:ascii="Times New Roman" w:hAnsi="Times New Roman" w:cs="Times New Roman"/>
          <w:sz w:val="24"/>
          <w:szCs w:val="24"/>
        </w:rPr>
        <w:t>?</w:t>
      </w:r>
    </w:p>
    <w:p w14:paraId="50682832" w14:textId="500D90FD" w:rsidR="008A7824" w:rsidRPr="00EC01F6" w:rsidRDefault="008A7824"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3.5 </w:t>
      </w:r>
      <w:r w:rsidR="002B3008" w:rsidRPr="00EC01F6">
        <w:rPr>
          <w:rFonts w:ascii="Times New Roman" w:hAnsi="Times New Roman" w:cs="Times New Roman"/>
          <w:i/>
          <w:sz w:val="24"/>
          <w:szCs w:val="24"/>
        </w:rPr>
        <w:t>V</w:t>
      </w:r>
      <w:r w:rsidRPr="00EC01F6">
        <w:rPr>
          <w:rFonts w:ascii="Times New Roman" w:hAnsi="Times New Roman" w:cs="Times New Roman"/>
          <w:i/>
          <w:sz w:val="24"/>
          <w:szCs w:val="24"/>
        </w:rPr>
        <w:t>ennootschapsbelasting aanbevelingen</w:t>
      </w:r>
    </w:p>
    <w:p w14:paraId="46DAF7AE" w14:textId="17F84AA6" w:rsidR="008A7824" w:rsidRPr="00EC01F6" w:rsidRDefault="008C47D2"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Boer kan zich vinden in het</w:t>
      </w:r>
      <w:r w:rsidR="008A7824" w:rsidRPr="00EC01F6">
        <w:rPr>
          <w:rFonts w:ascii="Times New Roman" w:hAnsi="Times New Roman" w:cs="Times New Roman"/>
          <w:sz w:val="24"/>
          <w:szCs w:val="24"/>
        </w:rPr>
        <w:t xml:space="preserve"> voorstel om de open-cv af te schaffen. </w:t>
      </w:r>
      <w:r w:rsidR="00FA62F7" w:rsidRPr="00EC01F6">
        <w:rPr>
          <w:rFonts w:ascii="Times New Roman" w:hAnsi="Times New Roman" w:cs="Times New Roman"/>
          <w:sz w:val="24"/>
          <w:szCs w:val="24"/>
        </w:rPr>
        <w:t>Met k</w:t>
      </w:r>
      <w:r w:rsidR="008A7824" w:rsidRPr="00EC01F6">
        <w:rPr>
          <w:rFonts w:ascii="Times New Roman" w:hAnsi="Times New Roman" w:cs="Times New Roman"/>
          <w:sz w:val="24"/>
          <w:szCs w:val="24"/>
        </w:rPr>
        <w:t xml:space="preserve">walificatie van rechtsvormen op basis van criteria A en B van het kwalificatiebesluit is volgens hem </w:t>
      </w:r>
      <w:r w:rsidRPr="00EC01F6">
        <w:rPr>
          <w:rFonts w:ascii="Times New Roman" w:hAnsi="Times New Roman" w:cs="Times New Roman"/>
          <w:sz w:val="24"/>
          <w:szCs w:val="24"/>
        </w:rPr>
        <w:t>afdoende</w:t>
      </w:r>
      <w:r w:rsidR="008A7824" w:rsidRPr="00EC01F6">
        <w:rPr>
          <w:rFonts w:ascii="Times New Roman" w:hAnsi="Times New Roman" w:cs="Times New Roman"/>
          <w:sz w:val="24"/>
          <w:szCs w:val="24"/>
        </w:rPr>
        <w:t xml:space="preserve">. </w:t>
      </w:r>
      <w:r w:rsidRPr="00EC01F6">
        <w:rPr>
          <w:rFonts w:ascii="Times New Roman" w:hAnsi="Times New Roman" w:cs="Times New Roman"/>
          <w:sz w:val="24"/>
          <w:szCs w:val="24"/>
        </w:rPr>
        <w:t xml:space="preserve">De uitkomst van de kwalificatie is dan duidelijk en zal dan ook tot veel minder </w:t>
      </w:r>
      <w:r w:rsidRPr="00EC01F6">
        <w:rPr>
          <w:rFonts w:ascii="Times New Roman" w:hAnsi="Times New Roman" w:cs="Times New Roman"/>
          <w:i/>
          <w:sz w:val="24"/>
          <w:szCs w:val="24"/>
        </w:rPr>
        <w:t>mismatches</w:t>
      </w:r>
      <w:r w:rsidRPr="00EC01F6">
        <w:rPr>
          <w:rFonts w:ascii="Times New Roman" w:hAnsi="Times New Roman" w:cs="Times New Roman"/>
          <w:sz w:val="24"/>
          <w:szCs w:val="24"/>
        </w:rPr>
        <w:t xml:space="preserve"> leiden.</w:t>
      </w:r>
      <w:r w:rsidR="008A7824" w:rsidRPr="00EC01F6">
        <w:rPr>
          <w:rFonts w:ascii="Times New Roman" w:hAnsi="Times New Roman" w:cs="Times New Roman"/>
          <w:sz w:val="24"/>
          <w:szCs w:val="24"/>
        </w:rPr>
        <w:t xml:space="preserve"> Hoe zit het met de toekomst? Wat als de cv rechtspersoonlijkheid krijgt onder het nieuwe recht? </w:t>
      </w:r>
      <w:r w:rsidR="00442B2A" w:rsidRPr="00EC01F6">
        <w:rPr>
          <w:rFonts w:ascii="Times New Roman" w:hAnsi="Times New Roman" w:cs="Times New Roman"/>
          <w:sz w:val="24"/>
          <w:szCs w:val="24"/>
        </w:rPr>
        <w:t xml:space="preserve">Hoe zit </w:t>
      </w:r>
      <w:r w:rsidR="008A7824" w:rsidRPr="00EC01F6">
        <w:rPr>
          <w:rFonts w:ascii="Times New Roman" w:hAnsi="Times New Roman" w:cs="Times New Roman"/>
          <w:sz w:val="24"/>
          <w:szCs w:val="24"/>
        </w:rPr>
        <w:t>het dan met de uitwerking en hoe is de uitkomst te rijmen met het arrest over de Delaware LLC?</w:t>
      </w:r>
      <w:r w:rsidR="008A7824" w:rsidRPr="00EC01F6">
        <w:rPr>
          <w:rStyle w:val="Voetnootmarkering"/>
          <w:rFonts w:ascii="Times New Roman" w:hAnsi="Times New Roman" w:cs="Times New Roman"/>
          <w:sz w:val="24"/>
          <w:szCs w:val="24"/>
        </w:rPr>
        <w:footnoteReference w:id="31"/>
      </w:r>
      <w:r w:rsidR="00786706" w:rsidRPr="00EC01F6">
        <w:rPr>
          <w:rFonts w:ascii="Times New Roman" w:hAnsi="Times New Roman" w:cs="Times New Roman"/>
          <w:sz w:val="24"/>
          <w:szCs w:val="24"/>
        </w:rPr>
        <w:t xml:space="preserve"> Welke betekenis komt toe aan de beperkte aansprakelijkheid van de commanditaire vennoot?</w:t>
      </w:r>
      <w:r w:rsidR="00786706" w:rsidRPr="00EC01F6">
        <w:rPr>
          <w:rStyle w:val="Voetnootmarkering"/>
          <w:rFonts w:ascii="Times New Roman" w:hAnsi="Times New Roman" w:cs="Times New Roman"/>
          <w:sz w:val="24"/>
          <w:szCs w:val="24"/>
        </w:rPr>
        <w:footnoteReference w:id="32"/>
      </w:r>
      <w:r w:rsidR="00786706" w:rsidRPr="00EC01F6">
        <w:rPr>
          <w:rFonts w:ascii="Times New Roman" w:hAnsi="Times New Roman" w:cs="Times New Roman"/>
          <w:sz w:val="24"/>
          <w:szCs w:val="24"/>
        </w:rPr>
        <w:t xml:space="preserve"> De grote olifant in de kamer is volgens Boer de LLP die volgens hem bewust niet opgenomen is in de lijst bij het kwalificatiebesluit.</w:t>
      </w:r>
      <w:r w:rsidR="00786706" w:rsidRPr="00EC01F6">
        <w:rPr>
          <w:rStyle w:val="Voetnootmarkering"/>
          <w:rFonts w:ascii="Times New Roman" w:hAnsi="Times New Roman" w:cs="Times New Roman"/>
          <w:sz w:val="24"/>
          <w:szCs w:val="24"/>
        </w:rPr>
        <w:footnoteReference w:id="33"/>
      </w:r>
      <w:r w:rsidR="00786706" w:rsidRPr="00EC01F6">
        <w:rPr>
          <w:rFonts w:ascii="Times New Roman" w:hAnsi="Times New Roman" w:cs="Times New Roman"/>
          <w:sz w:val="24"/>
          <w:szCs w:val="24"/>
        </w:rPr>
        <w:t xml:space="preserve"> </w:t>
      </w:r>
      <w:r w:rsidRPr="00EC01F6">
        <w:rPr>
          <w:rFonts w:ascii="Times New Roman" w:hAnsi="Times New Roman" w:cs="Times New Roman"/>
          <w:sz w:val="24"/>
          <w:szCs w:val="24"/>
        </w:rPr>
        <w:t xml:space="preserve">Nu is een rechtsvorm met beperkte aansprakelijkheid die als fiscaal transparant wordt bestempeld </w:t>
      </w:r>
      <w:r w:rsidRPr="00EC01F6">
        <w:rPr>
          <w:rFonts w:ascii="Times New Roman" w:hAnsi="Times New Roman" w:cs="Times New Roman"/>
          <w:i/>
          <w:sz w:val="24"/>
          <w:szCs w:val="24"/>
        </w:rPr>
        <w:t xml:space="preserve">het </w:t>
      </w:r>
      <w:r w:rsidRPr="00EC01F6">
        <w:rPr>
          <w:rFonts w:ascii="Times New Roman" w:hAnsi="Times New Roman" w:cs="Times New Roman"/>
          <w:sz w:val="24"/>
          <w:szCs w:val="24"/>
        </w:rPr>
        <w:t>importproduct vanuit Engeland en Amerika; het is de vraag of Nederland daar iets tegenover wil stellen.</w:t>
      </w:r>
    </w:p>
    <w:p w14:paraId="3A892478" w14:textId="77777777" w:rsidR="008C47D2" w:rsidRPr="00EC01F6" w:rsidRDefault="008C47D2"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Verder vraagt Boer zich af of er niet een uitsluitingsregel geïntroduceerd moet worden: alles wat belast is in de vennootschapsbelasting is dat niet in de inkomstenbelasting en andersom. Het probleem met particuliere doelvermogens lijkt grotendeels opgelost met het APV-regime,</w:t>
      </w:r>
      <w:r w:rsidRPr="00EC01F6">
        <w:rPr>
          <w:rStyle w:val="Voetnootmarkering"/>
          <w:rFonts w:ascii="Times New Roman" w:hAnsi="Times New Roman" w:cs="Times New Roman"/>
          <w:sz w:val="24"/>
          <w:szCs w:val="24"/>
        </w:rPr>
        <w:footnoteReference w:id="34"/>
      </w:r>
      <w:r w:rsidRPr="00EC01F6">
        <w:rPr>
          <w:rFonts w:ascii="Times New Roman" w:hAnsi="Times New Roman" w:cs="Times New Roman"/>
          <w:sz w:val="24"/>
          <w:szCs w:val="24"/>
        </w:rPr>
        <w:t xml:space="preserve"> maar Boer zou graag zien dat op dit punt meer fundamentelere oplossingen worden onderzocht – mede in het licht van het antwoord van de HR op de prejudiciële vragen ten aanzien van de open fondsen voor gemene rekening.</w:t>
      </w:r>
      <w:r w:rsidRPr="00EC01F6">
        <w:rPr>
          <w:rStyle w:val="Voetnootmarkering"/>
          <w:rFonts w:ascii="Times New Roman" w:hAnsi="Times New Roman" w:cs="Times New Roman"/>
          <w:sz w:val="24"/>
          <w:szCs w:val="24"/>
        </w:rPr>
        <w:footnoteReference w:id="35"/>
      </w:r>
    </w:p>
    <w:p w14:paraId="53B8E01C" w14:textId="7AB19C01" w:rsidR="001900C3" w:rsidRPr="00EC01F6" w:rsidRDefault="008C47D2"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lastRenderedPageBreak/>
        <w:t>Ten slotte stelt Boer voor om discussie te voeren over de vraag of de aard van het belastingsubject, bepalend moet zijn voor omvang van het belastingobject. Kan dat nog wel? De niet-nijvere stichting die geld uitleent</w:t>
      </w:r>
      <w:r w:rsidR="00505827">
        <w:rPr>
          <w:rFonts w:ascii="Times New Roman" w:hAnsi="Times New Roman" w:cs="Times New Roman"/>
          <w:sz w:val="24"/>
          <w:szCs w:val="24"/>
        </w:rPr>
        <w:t>,</w:t>
      </w:r>
      <w:r w:rsidRPr="00EC01F6">
        <w:rPr>
          <w:rFonts w:ascii="Times New Roman" w:hAnsi="Times New Roman" w:cs="Times New Roman"/>
          <w:sz w:val="24"/>
          <w:szCs w:val="24"/>
        </w:rPr>
        <w:t xml:space="preserve"> wordt niet belast. Past dat nog?</w:t>
      </w:r>
    </w:p>
    <w:p w14:paraId="767A63B1" w14:textId="77777777" w:rsidR="0037295D" w:rsidRPr="00EC01F6" w:rsidRDefault="00B61B79"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4. </w:t>
      </w:r>
      <w:r w:rsidR="00966890" w:rsidRPr="00EC01F6">
        <w:rPr>
          <w:rFonts w:ascii="Times New Roman" w:hAnsi="Times New Roman" w:cs="Times New Roman"/>
          <w:i/>
          <w:sz w:val="24"/>
          <w:szCs w:val="24"/>
        </w:rPr>
        <w:t xml:space="preserve">Reflecties vanuit agrofiscaal perspectief </w:t>
      </w:r>
      <w:r w:rsidRPr="00EC01F6">
        <w:rPr>
          <w:rFonts w:ascii="Times New Roman" w:hAnsi="Times New Roman" w:cs="Times New Roman"/>
          <w:i/>
          <w:sz w:val="24"/>
          <w:szCs w:val="24"/>
        </w:rPr>
        <w:t>-</w:t>
      </w:r>
      <w:r w:rsidR="00966890" w:rsidRPr="00EC01F6">
        <w:rPr>
          <w:rFonts w:ascii="Times New Roman" w:hAnsi="Times New Roman" w:cs="Times New Roman"/>
          <w:i/>
          <w:sz w:val="24"/>
          <w:szCs w:val="24"/>
        </w:rPr>
        <w:t xml:space="preserve"> V</w:t>
      </w:r>
      <w:r w:rsidR="0037295D" w:rsidRPr="00EC01F6">
        <w:rPr>
          <w:rFonts w:ascii="Times New Roman" w:hAnsi="Times New Roman" w:cs="Times New Roman"/>
          <w:i/>
          <w:sz w:val="24"/>
          <w:szCs w:val="24"/>
        </w:rPr>
        <w:t>an den Kerkhof</w:t>
      </w:r>
      <w:r w:rsidRPr="00EC01F6">
        <w:rPr>
          <w:rStyle w:val="Voetnootmarkering"/>
          <w:rFonts w:ascii="Times New Roman" w:hAnsi="Times New Roman" w:cs="Times New Roman"/>
          <w:i/>
          <w:sz w:val="24"/>
          <w:szCs w:val="24"/>
        </w:rPr>
        <w:footnoteReference w:id="36"/>
      </w:r>
    </w:p>
    <w:p w14:paraId="504F6F1E" w14:textId="77777777" w:rsidR="00C46BB2" w:rsidRPr="00EC01F6" w:rsidRDefault="00C46BB2"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4.1 </w:t>
      </w:r>
      <w:r w:rsidR="00BA0922" w:rsidRPr="00EC01F6">
        <w:rPr>
          <w:rFonts w:ascii="Times New Roman" w:hAnsi="Times New Roman" w:cs="Times New Roman"/>
          <w:i/>
          <w:sz w:val="24"/>
          <w:szCs w:val="24"/>
        </w:rPr>
        <w:t>I</w:t>
      </w:r>
      <w:r w:rsidRPr="00EC01F6">
        <w:rPr>
          <w:rFonts w:ascii="Times New Roman" w:hAnsi="Times New Roman" w:cs="Times New Roman"/>
          <w:i/>
          <w:sz w:val="24"/>
          <w:szCs w:val="24"/>
        </w:rPr>
        <w:t>nleiding</w:t>
      </w:r>
    </w:p>
    <w:p w14:paraId="1266A872" w14:textId="77777777" w:rsidR="005B17DE" w:rsidRPr="00EC01F6" w:rsidRDefault="005B17DE"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In de eerste </w:t>
      </w:r>
      <w:r w:rsidR="0037295D" w:rsidRPr="00EC01F6">
        <w:rPr>
          <w:rFonts w:ascii="Times New Roman" w:hAnsi="Times New Roman" w:cs="Times New Roman"/>
          <w:sz w:val="24"/>
          <w:szCs w:val="24"/>
        </w:rPr>
        <w:t xml:space="preserve">plaats complimenten van Van den Kerkhof aan de scribenten van dit rapport. Het is een hele kluif om een nieuw systeem te ontwerpen voor de personenvennootschappen. Vanuit de expertise van de spreker in de advisering van agrarische ondernemingen heeft hij een voorliefde </w:t>
      </w:r>
      <w:r w:rsidR="00BA0922" w:rsidRPr="00EC01F6">
        <w:rPr>
          <w:rFonts w:ascii="Times New Roman" w:hAnsi="Times New Roman" w:cs="Times New Roman"/>
          <w:sz w:val="24"/>
          <w:szCs w:val="24"/>
        </w:rPr>
        <w:t xml:space="preserve">voor </w:t>
      </w:r>
      <w:r w:rsidR="0037295D" w:rsidRPr="00EC01F6">
        <w:rPr>
          <w:rFonts w:ascii="Times New Roman" w:hAnsi="Times New Roman" w:cs="Times New Roman"/>
          <w:sz w:val="24"/>
          <w:szCs w:val="24"/>
        </w:rPr>
        <w:t xml:space="preserve">dit gebied van het belastingrecht ontwikkeld. Vanaf de Oortwetgeving heeft het gebruik van de personenvennootschap een vlucht genomen, bijvoorbeeld de </w:t>
      </w:r>
      <w:r w:rsidR="00B51F26" w:rsidRPr="00EC01F6">
        <w:rPr>
          <w:rFonts w:ascii="Times New Roman" w:hAnsi="Times New Roman" w:cs="Times New Roman"/>
          <w:sz w:val="24"/>
          <w:szCs w:val="24"/>
        </w:rPr>
        <w:t>man-vrouwmaatschap</w:t>
      </w:r>
      <w:r w:rsidR="0037295D" w:rsidRPr="00EC01F6">
        <w:rPr>
          <w:rFonts w:ascii="Times New Roman" w:hAnsi="Times New Roman" w:cs="Times New Roman"/>
          <w:sz w:val="24"/>
          <w:szCs w:val="24"/>
        </w:rPr>
        <w:t>. De spreker vraagt zich af of deze toename het gevolg is van belastingadviseurs die steeds vaker het voortouw nemen in het opzetten van ondernemingsstructuren en of fiscale opportuniteit niet steeds vaker de boventoon voert.</w:t>
      </w:r>
    </w:p>
    <w:p w14:paraId="0758C907" w14:textId="27E63AAD" w:rsidR="0037295D" w:rsidRPr="00EC01F6" w:rsidRDefault="0037295D"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De complicaties die genoemd worden onderken</w:t>
      </w:r>
      <w:r w:rsidR="00BD186D" w:rsidRPr="00EC01F6">
        <w:rPr>
          <w:rFonts w:ascii="Times New Roman" w:hAnsi="Times New Roman" w:cs="Times New Roman"/>
          <w:sz w:val="24"/>
          <w:szCs w:val="24"/>
        </w:rPr>
        <w:t>t</w:t>
      </w:r>
      <w:r w:rsidRPr="00EC01F6">
        <w:rPr>
          <w:rFonts w:ascii="Times New Roman" w:hAnsi="Times New Roman" w:cs="Times New Roman"/>
          <w:sz w:val="24"/>
          <w:szCs w:val="24"/>
        </w:rPr>
        <w:t xml:space="preserve"> Van den Kerkhof en daar wil hij aan toevoegen de complicaties die ontstaan door verschillen tussen de jaar- en stakingswinstverdeling. Hij heeft voorbij zien komen dat voor 0%-100%-verdelingen wordt gekozen op voordracht van belastingadviseurs en daar gruwt de spreker van. Wijziging van jaarwinstverdeling heeft geen gevolgen, terwijl volgens de spreker toch een gedeelte van </w:t>
      </w:r>
      <w:r w:rsidR="00E42601" w:rsidRPr="00EC01F6">
        <w:rPr>
          <w:rFonts w:ascii="Times New Roman" w:hAnsi="Times New Roman" w:cs="Times New Roman"/>
          <w:sz w:val="24"/>
          <w:szCs w:val="24"/>
        </w:rPr>
        <w:t xml:space="preserve">de onderneming overgedragen wordt. </w:t>
      </w:r>
      <w:r w:rsidR="00FD6893" w:rsidRPr="00EC01F6">
        <w:rPr>
          <w:rFonts w:ascii="Times New Roman" w:hAnsi="Times New Roman" w:cs="Times New Roman"/>
          <w:sz w:val="24"/>
          <w:szCs w:val="24"/>
        </w:rPr>
        <w:t>Overeenkomstig zijn er ook complicaties bij de wijziging van het stakingswinstpercentage. Over deze onderwerpen heeft spreker – tot zijn spijt – niks teruggelezen in het rapport.</w:t>
      </w:r>
    </w:p>
    <w:p w14:paraId="7424BA14" w14:textId="77777777" w:rsidR="00C46BB2" w:rsidRPr="00EC01F6" w:rsidRDefault="00C46BB2"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4.2 </w:t>
      </w:r>
      <w:r w:rsidR="00BA0922" w:rsidRPr="00EC01F6">
        <w:rPr>
          <w:rFonts w:ascii="Times New Roman" w:hAnsi="Times New Roman" w:cs="Times New Roman"/>
          <w:i/>
          <w:sz w:val="24"/>
          <w:szCs w:val="24"/>
        </w:rPr>
        <w:t>I</w:t>
      </w:r>
      <w:r w:rsidRPr="00EC01F6">
        <w:rPr>
          <w:rFonts w:ascii="Times New Roman" w:hAnsi="Times New Roman" w:cs="Times New Roman"/>
          <w:i/>
          <w:sz w:val="24"/>
          <w:szCs w:val="24"/>
        </w:rPr>
        <w:t>nkomstenbelasting: de landbouwvrijstelling, VAMIL en belastinguitstel</w:t>
      </w:r>
    </w:p>
    <w:p w14:paraId="4003755F" w14:textId="4665C009" w:rsidR="005C4286" w:rsidRPr="00EC01F6" w:rsidRDefault="00FD6893"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De landbouwvrijstelling is zeer complex</w:t>
      </w:r>
      <w:r w:rsidR="00974B5A" w:rsidRPr="00EC01F6">
        <w:rPr>
          <w:rFonts w:ascii="Times New Roman" w:hAnsi="Times New Roman" w:cs="Times New Roman"/>
          <w:sz w:val="24"/>
          <w:szCs w:val="24"/>
        </w:rPr>
        <w:t xml:space="preserve"> en </w:t>
      </w:r>
      <w:r w:rsidR="00BA0922" w:rsidRPr="00EC01F6">
        <w:rPr>
          <w:rFonts w:ascii="Times New Roman" w:hAnsi="Times New Roman" w:cs="Times New Roman"/>
          <w:sz w:val="24"/>
          <w:szCs w:val="24"/>
        </w:rPr>
        <w:t xml:space="preserve">dat </w:t>
      </w:r>
      <w:r w:rsidR="00974B5A" w:rsidRPr="00EC01F6">
        <w:rPr>
          <w:rFonts w:ascii="Times New Roman" w:hAnsi="Times New Roman" w:cs="Times New Roman"/>
          <w:sz w:val="24"/>
          <w:szCs w:val="24"/>
        </w:rPr>
        <w:t xml:space="preserve">onderkent de commissie ook. In dat kader verwijst de spreker naar arresten van de Hoge </w:t>
      </w:r>
      <w:r w:rsidR="007661D9" w:rsidRPr="00EC01F6">
        <w:rPr>
          <w:rFonts w:ascii="Times New Roman" w:hAnsi="Times New Roman" w:cs="Times New Roman"/>
          <w:sz w:val="24"/>
          <w:szCs w:val="24"/>
        </w:rPr>
        <w:t>R</w:t>
      </w:r>
      <w:r w:rsidR="00974B5A" w:rsidRPr="00EC01F6">
        <w:rPr>
          <w:rFonts w:ascii="Times New Roman" w:hAnsi="Times New Roman" w:cs="Times New Roman"/>
          <w:sz w:val="24"/>
          <w:szCs w:val="24"/>
        </w:rPr>
        <w:t xml:space="preserve">aad uit </w:t>
      </w:r>
      <w:r w:rsidR="00BA0922" w:rsidRPr="00EC01F6">
        <w:rPr>
          <w:rFonts w:ascii="Times New Roman" w:hAnsi="Times New Roman" w:cs="Times New Roman"/>
          <w:sz w:val="24"/>
          <w:szCs w:val="24"/>
        </w:rPr>
        <w:t>onder andere</w:t>
      </w:r>
      <w:r w:rsidR="00974B5A" w:rsidRPr="00EC01F6">
        <w:rPr>
          <w:rFonts w:ascii="Times New Roman" w:hAnsi="Times New Roman" w:cs="Times New Roman"/>
          <w:sz w:val="24"/>
          <w:szCs w:val="24"/>
        </w:rPr>
        <w:t xml:space="preserve"> 2016.</w:t>
      </w:r>
      <w:r w:rsidR="00974B5A" w:rsidRPr="00EC01F6">
        <w:rPr>
          <w:rStyle w:val="Voetnootmarkering"/>
          <w:rFonts w:ascii="Times New Roman" w:hAnsi="Times New Roman" w:cs="Times New Roman"/>
          <w:sz w:val="24"/>
          <w:szCs w:val="24"/>
        </w:rPr>
        <w:footnoteReference w:id="37"/>
      </w:r>
      <w:r w:rsidR="00BA0922" w:rsidRPr="00EC01F6">
        <w:rPr>
          <w:rFonts w:ascii="Times New Roman" w:hAnsi="Times New Roman" w:cs="Times New Roman"/>
          <w:sz w:val="24"/>
          <w:szCs w:val="24"/>
        </w:rPr>
        <w:t xml:space="preserve"> </w:t>
      </w:r>
      <w:r w:rsidR="00974B5A" w:rsidRPr="00EC01F6">
        <w:rPr>
          <w:rFonts w:ascii="Times New Roman" w:hAnsi="Times New Roman" w:cs="Times New Roman"/>
          <w:sz w:val="24"/>
          <w:szCs w:val="24"/>
        </w:rPr>
        <w:t>Hij vraagt zich</w:t>
      </w:r>
      <w:r w:rsidR="004E281B" w:rsidRPr="00EC01F6">
        <w:rPr>
          <w:rFonts w:ascii="Times New Roman" w:hAnsi="Times New Roman" w:cs="Times New Roman"/>
          <w:sz w:val="24"/>
          <w:szCs w:val="24"/>
        </w:rPr>
        <w:t xml:space="preserve"> af</w:t>
      </w:r>
      <w:r w:rsidR="00974B5A" w:rsidRPr="00EC01F6">
        <w:rPr>
          <w:rFonts w:ascii="Times New Roman" w:hAnsi="Times New Roman" w:cs="Times New Roman"/>
          <w:sz w:val="24"/>
          <w:szCs w:val="24"/>
        </w:rPr>
        <w:t xml:space="preserve"> hoe de landbouwvrijstelling geïntegreerd kan worden in het alternatieve systeem van Doornebal en Van Kempen.</w:t>
      </w:r>
      <w:r w:rsidR="005C4286" w:rsidRPr="00EC01F6">
        <w:rPr>
          <w:rFonts w:ascii="Times New Roman" w:hAnsi="Times New Roman" w:cs="Times New Roman"/>
          <w:sz w:val="24"/>
          <w:szCs w:val="24"/>
        </w:rPr>
        <w:t xml:space="preserve"> Wordt dan aansluiting gezocht bij de zesde standaardvoorwaarde voor de geruisloze inbreng in een bv?</w:t>
      </w:r>
      <w:r w:rsidR="005C4286" w:rsidRPr="00EC01F6">
        <w:rPr>
          <w:rStyle w:val="Voetnootmarkering"/>
          <w:rFonts w:ascii="Times New Roman" w:hAnsi="Times New Roman" w:cs="Times New Roman"/>
          <w:sz w:val="24"/>
          <w:szCs w:val="24"/>
        </w:rPr>
        <w:footnoteReference w:id="38"/>
      </w:r>
      <w:r w:rsidR="005C4286" w:rsidRPr="00EC01F6">
        <w:rPr>
          <w:rFonts w:ascii="Times New Roman" w:hAnsi="Times New Roman" w:cs="Times New Roman"/>
          <w:sz w:val="24"/>
          <w:szCs w:val="24"/>
        </w:rPr>
        <w:t xml:space="preserve"> In dat geval mogen stille reserves die onder de landbouwvrijstelling vallen bij de verkrijgingsprijs opgeteld worden, met als gevolg dat die reserves na drie jaar onbelast onttrokken kunnen worden. Dit zijn vraagstukken waar aandacht voor moet zijn bij het verder nadenken over het alternatieve systeem, aldus Van den Kerkhof.</w:t>
      </w:r>
      <w:r w:rsidR="00C93DA9" w:rsidRPr="00EC01F6">
        <w:rPr>
          <w:rFonts w:ascii="Times New Roman" w:hAnsi="Times New Roman" w:cs="Times New Roman"/>
          <w:sz w:val="24"/>
          <w:szCs w:val="24"/>
        </w:rPr>
        <w:t xml:space="preserve"> </w:t>
      </w:r>
      <w:r w:rsidR="005C4286" w:rsidRPr="00EC01F6">
        <w:rPr>
          <w:rFonts w:ascii="Times New Roman" w:hAnsi="Times New Roman" w:cs="Times New Roman"/>
          <w:sz w:val="24"/>
          <w:szCs w:val="24"/>
        </w:rPr>
        <w:t xml:space="preserve">Of </w:t>
      </w:r>
      <w:r w:rsidR="00C93DA9" w:rsidRPr="00EC01F6">
        <w:rPr>
          <w:rFonts w:ascii="Times New Roman" w:hAnsi="Times New Roman" w:cs="Times New Roman"/>
          <w:sz w:val="24"/>
          <w:szCs w:val="24"/>
        </w:rPr>
        <w:t>moet</w:t>
      </w:r>
      <w:r w:rsidR="005C4286" w:rsidRPr="00EC01F6">
        <w:rPr>
          <w:rFonts w:ascii="Times New Roman" w:hAnsi="Times New Roman" w:cs="Times New Roman"/>
          <w:sz w:val="24"/>
          <w:szCs w:val="24"/>
        </w:rPr>
        <w:t xml:space="preserve"> </w:t>
      </w:r>
      <w:r w:rsidR="00B51F26" w:rsidRPr="00EC01F6">
        <w:rPr>
          <w:rFonts w:ascii="Times New Roman" w:hAnsi="Times New Roman" w:cs="Times New Roman"/>
          <w:sz w:val="24"/>
          <w:szCs w:val="24"/>
        </w:rPr>
        <w:t>ervan uit</w:t>
      </w:r>
      <w:r w:rsidR="005C4286" w:rsidRPr="00EC01F6">
        <w:rPr>
          <w:rFonts w:ascii="Times New Roman" w:hAnsi="Times New Roman" w:cs="Times New Roman"/>
          <w:sz w:val="24"/>
          <w:szCs w:val="24"/>
        </w:rPr>
        <w:t xml:space="preserve"> </w:t>
      </w:r>
      <w:r w:rsidR="00C93DA9" w:rsidRPr="00EC01F6">
        <w:rPr>
          <w:rFonts w:ascii="Times New Roman" w:hAnsi="Times New Roman" w:cs="Times New Roman"/>
          <w:sz w:val="24"/>
          <w:szCs w:val="24"/>
        </w:rPr>
        <w:t xml:space="preserve">worden gegaan </w:t>
      </w:r>
      <w:r w:rsidR="005C4286" w:rsidRPr="00EC01F6">
        <w:rPr>
          <w:rFonts w:ascii="Times New Roman" w:hAnsi="Times New Roman" w:cs="Times New Roman"/>
          <w:sz w:val="24"/>
          <w:szCs w:val="24"/>
        </w:rPr>
        <w:t>dat de landbouwvrijstelling misschien</w:t>
      </w:r>
      <w:r w:rsidR="00C93DA9" w:rsidRPr="00EC01F6">
        <w:rPr>
          <w:rFonts w:ascii="Times New Roman" w:hAnsi="Times New Roman" w:cs="Times New Roman"/>
          <w:sz w:val="24"/>
          <w:szCs w:val="24"/>
        </w:rPr>
        <w:t xml:space="preserve"> wel is afgeschaft tegen de tijd dat dit alternatieve systeem tot wet wordt verheven?</w:t>
      </w:r>
    </w:p>
    <w:p w14:paraId="5FBA8AC3" w14:textId="7B06ABFF" w:rsidR="001B217D" w:rsidRPr="00EC01F6" w:rsidRDefault="001B217D"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In de praktijk komt de spreker veelvuldig t</w:t>
      </w:r>
      <w:r w:rsidR="00AD58AF" w:rsidRPr="00EC01F6">
        <w:rPr>
          <w:rFonts w:ascii="Times New Roman" w:hAnsi="Times New Roman" w:cs="Times New Roman"/>
          <w:sz w:val="24"/>
          <w:szCs w:val="24"/>
        </w:rPr>
        <w:t>egen</w:t>
      </w:r>
      <w:r w:rsidRPr="00EC01F6">
        <w:rPr>
          <w:rFonts w:ascii="Times New Roman" w:hAnsi="Times New Roman" w:cs="Times New Roman"/>
          <w:sz w:val="24"/>
          <w:szCs w:val="24"/>
        </w:rPr>
        <w:t xml:space="preserve"> dat wordt geadviseerd aan ondernemers om met een bv een samenwerkingsverband aan te gaan in de vorm van een personenvennootschap. Door middel van dit soort constructies kunnen de ondernemers genieten van alle ondernemersfaciliteiten in de inkomstenbelasting en wordt ondertussen de winst van de personenvennootschap dusdanig afgeroomd door de bv dat de ondernemer in het laagste tarief van box 1 wordt belast. Dit soort constructies zijn volgens de spreker </w:t>
      </w:r>
      <w:r w:rsidR="00193064" w:rsidRPr="00EC01F6">
        <w:rPr>
          <w:rFonts w:ascii="Times New Roman" w:hAnsi="Times New Roman" w:cs="Times New Roman"/>
          <w:sz w:val="24"/>
          <w:szCs w:val="24"/>
        </w:rPr>
        <w:t xml:space="preserve">niet </w:t>
      </w:r>
      <w:r w:rsidR="00193064" w:rsidRPr="00EC01F6">
        <w:rPr>
          <w:rFonts w:ascii="Times New Roman" w:hAnsi="Times New Roman" w:cs="Times New Roman"/>
          <w:sz w:val="24"/>
          <w:szCs w:val="24"/>
        </w:rPr>
        <w:lastRenderedPageBreak/>
        <w:t>wenselijk</w:t>
      </w:r>
      <w:r w:rsidR="00193064" w:rsidRPr="00EC01F6" w:rsidDel="00193064">
        <w:rPr>
          <w:rFonts w:ascii="Times New Roman" w:hAnsi="Times New Roman" w:cs="Times New Roman"/>
          <w:sz w:val="24"/>
          <w:szCs w:val="24"/>
        </w:rPr>
        <w:t xml:space="preserve"> </w:t>
      </w:r>
      <w:r w:rsidRPr="00EC01F6">
        <w:rPr>
          <w:rFonts w:ascii="Times New Roman" w:hAnsi="Times New Roman" w:cs="Times New Roman"/>
          <w:sz w:val="24"/>
          <w:szCs w:val="24"/>
        </w:rPr>
        <w:t>en hij vraagt zich bij het zien van dit soort voortbrengsels af of er nog wel een civielrechtelijke werkelijkheid bestaat.</w:t>
      </w:r>
    </w:p>
    <w:p w14:paraId="126A3F19" w14:textId="436691BE" w:rsidR="001B217D" w:rsidRPr="00EC01F6" w:rsidRDefault="0025583B"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Verder doen zich complicaties voor omtrent de VAMIL-afschrijving. Het is bekend dat voor toerekening van deze regeling de jaarwinstverdeling moet worden gevolgd. Maar ook hier is volgens de spreker de vraag wat er gebeurt als de stakings- </w:t>
      </w:r>
      <w:r w:rsidR="00AD58AF" w:rsidRPr="00EC01F6">
        <w:rPr>
          <w:rFonts w:ascii="Times New Roman" w:hAnsi="Times New Roman" w:cs="Times New Roman"/>
          <w:sz w:val="24"/>
          <w:szCs w:val="24"/>
        </w:rPr>
        <w:t xml:space="preserve">of </w:t>
      </w:r>
      <w:r w:rsidRPr="00EC01F6">
        <w:rPr>
          <w:rFonts w:ascii="Times New Roman" w:hAnsi="Times New Roman" w:cs="Times New Roman"/>
          <w:sz w:val="24"/>
          <w:szCs w:val="24"/>
        </w:rPr>
        <w:t>overdrachtswinstverdeling wordt gewijzigd. De spr</w:t>
      </w:r>
      <w:r w:rsidR="002567D5" w:rsidRPr="00EC01F6">
        <w:rPr>
          <w:rFonts w:ascii="Times New Roman" w:hAnsi="Times New Roman" w:cs="Times New Roman"/>
          <w:sz w:val="24"/>
          <w:szCs w:val="24"/>
        </w:rPr>
        <w:t>eker denkt dat het alternatieve systeem hiervoor een oplossing biedt</w:t>
      </w:r>
      <w:r w:rsidR="00274C59">
        <w:rPr>
          <w:rFonts w:ascii="Times New Roman" w:hAnsi="Times New Roman" w:cs="Times New Roman"/>
          <w:sz w:val="24"/>
          <w:szCs w:val="24"/>
        </w:rPr>
        <w:t>,</w:t>
      </w:r>
      <w:r w:rsidR="002567D5" w:rsidRPr="00EC01F6">
        <w:rPr>
          <w:rFonts w:ascii="Times New Roman" w:hAnsi="Times New Roman" w:cs="Times New Roman"/>
          <w:sz w:val="24"/>
          <w:szCs w:val="24"/>
        </w:rPr>
        <w:t xml:space="preserve"> omdat de investering waarop wordt afgeschreven in de personenvennootschap zit en voordelen vervolgens worden toegerekend op basis van de winstverdeling.</w:t>
      </w:r>
    </w:p>
    <w:p w14:paraId="110356E9" w14:textId="4884F428" w:rsidR="002567D5" w:rsidRPr="00EC01F6" w:rsidRDefault="00EB4B7B"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Reflecterend op het alternatieve systeem dat uiteen is gezet in het rapport vraagt Van den Kerkhof zich af waarom geen aansluiting is gezocht bij het Deense belastingsysteem waarin voor de IB-ondernemer een vorm van ondernemingswinstbelasting wordt toegepast.</w:t>
      </w:r>
      <w:r w:rsidR="000251FD" w:rsidRPr="00EC01F6">
        <w:rPr>
          <w:rFonts w:ascii="Times New Roman" w:hAnsi="Times New Roman" w:cs="Times New Roman"/>
          <w:sz w:val="24"/>
          <w:szCs w:val="24"/>
        </w:rPr>
        <w:t xml:space="preserve"> In het alternatieve systeem wordt een mogelijkheid geboden om een gedeelte van de winst te reserveren dat pas aanvullend belast wordt op het moment dat die winstreserves door de ondernemer worden geconsumeerd. Dit leidt volgens de spreker tot tariefarbitrage door ‘onttrekkingsuitstel’.</w:t>
      </w:r>
    </w:p>
    <w:p w14:paraId="4829DE4B" w14:textId="22C22A2F" w:rsidR="000251FD" w:rsidRPr="00EC01F6" w:rsidRDefault="00E9317F"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4.3 </w:t>
      </w:r>
      <w:r w:rsidR="00AD58AF" w:rsidRPr="00EC01F6">
        <w:rPr>
          <w:rFonts w:ascii="Times New Roman" w:hAnsi="Times New Roman" w:cs="Times New Roman"/>
          <w:i/>
          <w:sz w:val="24"/>
          <w:szCs w:val="24"/>
        </w:rPr>
        <w:t>S</w:t>
      </w:r>
      <w:r w:rsidRPr="00EC01F6">
        <w:rPr>
          <w:rFonts w:ascii="Times New Roman" w:hAnsi="Times New Roman" w:cs="Times New Roman"/>
          <w:i/>
          <w:sz w:val="24"/>
          <w:szCs w:val="24"/>
        </w:rPr>
        <w:t>uccessiewet</w:t>
      </w:r>
      <w:r w:rsidR="0039516F" w:rsidRPr="00EC01F6">
        <w:rPr>
          <w:rFonts w:ascii="Times New Roman" w:hAnsi="Times New Roman" w:cs="Times New Roman"/>
          <w:i/>
          <w:sz w:val="24"/>
          <w:szCs w:val="24"/>
        </w:rPr>
        <w:t xml:space="preserve"> 1956</w:t>
      </w:r>
    </w:p>
    <w:p w14:paraId="0941BF30" w14:textId="71899514" w:rsidR="008D5ED3" w:rsidRPr="00EC01F6" w:rsidRDefault="001D501B"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Een van de knelpunten in </w:t>
      </w:r>
      <w:r w:rsidR="00AD58AF" w:rsidRPr="00EC01F6">
        <w:rPr>
          <w:rFonts w:ascii="Times New Roman" w:hAnsi="Times New Roman" w:cs="Times New Roman"/>
          <w:sz w:val="24"/>
          <w:szCs w:val="24"/>
        </w:rPr>
        <w:t xml:space="preserve">de </w:t>
      </w:r>
      <w:r w:rsidR="0039516F" w:rsidRPr="00EC01F6">
        <w:rPr>
          <w:rFonts w:ascii="Times New Roman" w:hAnsi="Times New Roman" w:cs="Times New Roman"/>
          <w:sz w:val="24"/>
          <w:szCs w:val="24"/>
        </w:rPr>
        <w:t>S</w:t>
      </w:r>
      <w:r w:rsidRPr="00EC01F6">
        <w:rPr>
          <w:rFonts w:ascii="Times New Roman" w:hAnsi="Times New Roman" w:cs="Times New Roman"/>
          <w:sz w:val="24"/>
          <w:szCs w:val="24"/>
        </w:rPr>
        <w:t>uccessiewet</w:t>
      </w:r>
      <w:r w:rsidR="0039516F" w:rsidRPr="00EC01F6">
        <w:rPr>
          <w:rFonts w:ascii="Times New Roman" w:hAnsi="Times New Roman" w:cs="Times New Roman"/>
          <w:sz w:val="24"/>
          <w:szCs w:val="24"/>
        </w:rPr>
        <w:t xml:space="preserve"> 1956</w:t>
      </w:r>
      <w:r w:rsidRPr="00EC01F6">
        <w:rPr>
          <w:rFonts w:ascii="Times New Roman" w:hAnsi="Times New Roman" w:cs="Times New Roman"/>
          <w:sz w:val="24"/>
          <w:szCs w:val="24"/>
        </w:rPr>
        <w:t xml:space="preserve"> die de commissie signaleert</w:t>
      </w:r>
      <w:r w:rsidR="00274C59">
        <w:rPr>
          <w:rFonts w:ascii="Times New Roman" w:hAnsi="Times New Roman" w:cs="Times New Roman"/>
          <w:sz w:val="24"/>
          <w:szCs w:val="24"/>
        </w:rPr>
        <w:t>,</w:t>
      </w:r>
      <w:r w:rsidRPr="00EC01F6">
        <w:rPr>
          <w:rFonts w:ascii="Times New Roman" w:hAnsi="Times New Roman" w:cs="Times New Roman"/>
          <w:sz w:val="24"/>
          <w:szCs w:val="24"/>
        </w:rPr>
        <w:t xml:space="preserve"> is de ongelijke behandeling tussen de kring van verwanten en derden. Dit probleem is volgens Van den Kerkhof terug te voeren op vraagstukken rondom zakelijk versus onzakelijk. </w:t>
      </w:r>
      <w:r w:rsidR="00BC0F70" w:rsidRPr="00EC01F6">
        <w:rPr>
          <w:rFonts w:ascii="Times New Roman" w:hAnsi="Times New Roman" w:cs="Times New Roman"/>
          <w:sz w:val="24"/>
          <w:szCs w:val="24"/>
        </w:rPr>
        <w:t xml:space="preserve">Bijvoorbeeld: </w:t>
      </w:r>
      <w:r w:rsidR="006A65B6" w:rsidRPr="00EC01F6">
        <w:rPr>
          <w:rFonts w:ascii="Times New Roman" w:hAnsi="Times New Roman" w:cs="Times New Roman"/>
          <w:sz w:val="24"/>
          <w:szCs w:val="24"/>
        </w:rPr>
        <w:t xml:space="preserve">een onderneming met een vrije waarde in het economische verkeer van </w:t>
      </w:r>
      <w:r w:rsidR="003079F2" w:rsidRPr="00EC01F6">
        <w:rPr>
          <w:rFonts w:ascii="Times New Roman" w:hAnsi="Times New Roman" w:cs="Times New Roman"/>
          <w:sz w:val="24"/>
          <w:szCs w:val="24"/>
        </w:rPr>
        <w:t>€ 4 mln.</w:t>
      </w:r>
      <w:r w:rsidR="006A65B6" w:rsidRPr="00EC01F6">
        <w:rPr>
          <w:rFonts w:ascii="Times New Roman" w:hAnsi="Times New Roman" w:cs="Times New Roman"/>
          <w:sz w:val="24"/>
          <w:szCs w:val="24"/>
        </w:rPr>
        <w:t xml:space="preserve"> en een </w:t>
      </w:r>
      <w:r w:rsidR="006A65B6" w:rsidRPr="00EC01F6">
        <w:rPr>
          <w:rFonts w:ascii="Times New Roman" w:hAnsi="Times New Roman" w:cs="Times New Roman"/>
          <w:i/>
          <w:sz w:val="24"/>
          <w:szCs w:val="24"/>
        </w:rPr>
        <w:t>going</w:t>
      </w:r>
      <w:r w:rsidR="00AD58AF" w:rsidRPr="00EC01F6">
        <w:rPr>
          <w:rFonts w:ascii="Times New Roman" w:hAnsi="Times New Roman" w:cs="Times New Roman"/>
          <w:i/>
          <w:sz w:val="24"/>
          <w:szCs w:val="24"/>
        </w:rPr>
        <w:t xml:space="preserve"> </w:t>
      </w:r>
      <w:r w:rsidR="006A65B6" w:rsidRPr="00EC01F6">
        <w:rPr>
          <w:rFonts w:ascii="Times New Roman" w:hAnsi="Times New Roman" w:cs="Times New Roman"/>
          <w:i/>
          <w:sz w:val="24"/>
          <w:szCs w:val="24"/>
        </w:rPr>
        <w:t>concern</w:t>
      </w:r>
      <w:r w:rsidR="006A65B6" w:rsidRPr="00EC01F6">
        <w:rPr>
          <w:rFonts w:ascii="Times New Roman" w:hAnsi="Times New Roman" w:cs="Times New Roman"/>
          <w:sz w:val="24"/>
          <w:szCs w:val="24"/>
        </w:rPr>
        <w:t xml:space="preserve">-waarde van </w:t>
      </w:r>
      <w:r w:rsidR="003079F2" w:rsidRPr="00EC01F6">
        <w:rPr>
          <w:rFonts w:ascii="Times New Roman" w:hAnsi="Times New Roman" w:cs="Times New Roman"/>
          <w:sz w:val="24"/>
          <w:szCs w:val="24"/>
        </w:rPr>
        <w:t>€ 1 mln.</w:t>
      </w:r>
      <w:r w:rsidR="0084229A" w:rsidRPr="00EC01F6">
        <w:rPr>
          <w:rFonts w:ascii="Times New Roman" w:hAnsi="Times New Roman" w:cs="Times New Roman"/>
          <w:sz w:val="24"/>
          <w:szCs w:val="24"/>
        </w:rPr>
        <w:t>; is die onderneming</w:t>
      </w:r>
      <w:r w:rsidR="006A65B6" w:rsidRPr="00EC01F6">
        <w:rPr>
          <w:rFonts w:ascii="Times New Roman" w:hAnsi="Times New Roman" w:cs="Times New Roman"/>
          <w:sz w:val="24"/>
          <w:szCs w:val="24"/>
        </w:rPr>
        <w:t xml:space="preserve"> echt maar </w:t>
      </w:r>
      <w:r w:rsidR="003079F2" w:rsidRPr="00EC01F6">
        <w:rPr>
          <w:rFonts w:ascii="Times New Roman" w:hAnsi="Times New Roman" w:cs="Times New Roman"/>
          <w:sz w:val="24"/>
          <w:szCs w:val="24"/>
        </w:rPr>
        <w:t>€ 1 mln.</w:t>
      </w:r>
      <w:r w:rsidR="00274C59">
        <w:rPr>
          <w:rFonts w:ascii="Times New Roman" w:hAnsi="Times New Roman" w:cs="Times New Roman"/>
          <w:sz w:val="24"/>
          <w:szCs w:val="24"/>
        </w:rPr>
        <w:t xml:space="preserve"> </w:t>
      </w:r>
      <w:r w:rsidR="006A65B6" w:rsidRPr="00EC01F6">
        <w:rPr>
          <w:rFonts w:ascii="Times New Roman" w:hAnsi="Times New Roman" w:cs="Times New Roman"/>
          <w:sz w:val="24"/>
          <w:szCs w:val="24"/>
        </w:rPr>
        <w:t xml:space="preserve">waard voor de </w:t>
      </w:r>
      <w:r w:rsidR="003079F2" w:rsidRPr="00EC01F6">
        <w:rPr>
          <w:rFonts w:ascii="Times New Roman" w:hAnsi="Times New Roman" w:cs="Times New Roman"/>
          <w:sz w:val="24"/>
          <w:szCs w:val="24"/>
        </w:rPr>
        <w:t>S</w:t>
      </w:r>
      <w:r w:rsidR="006A65B6" w:rsidRPr="00EC01F6">
        <w:rPr>
          <w:rFonts w:ascii="Times New Roman" w:hAnsi="Times New Roman" w:cs="Times New Roman"/>
          <w:sz w:val="24"/>
          <w:szCs w:val="24"/>
        </w:rPr>
        <w:t>uccessiewet</w:t>
      </w:r>
      <w:r w:rsidR="003079F2" w:rsidRPr="00EC01F6">
        <w:rPr>
          <w:rFonts w:ascii="Times New Roman" w:hAnsi="Times New Roman" w:cs="Times New Roman"/>
          <w:sz w:val="24"/>
          <w:szCs w:val="24"/>
        </w:rPr>
        <w:t xml:space="preserve"> 1956</w:t>
      </w:r>
      <w:r w:rsidR="006A65B6" w:rsidRPr="00EC01F6">
        <w:rPr>
          <w:rFonts w:ascii="Times New Roman" w:hAnsi="Times New Roman" w:cs="Times New Roman"/>
          <w:sz w:val="24"/>
          <w:szCs w:val="24"/>
        </w:rPr>
        <w:t>? De eigenaar kan namelijk wel</w:t>
      </w:r>
      <w:r w:rsidR="003079F2" w:rsidRPr="00EC01F6">
        <w:rPr>
          <w:rFonts w:ascii="Times New Roman" w:hAnsi="Times New Roman" w:cs="Times New Roman"/>
          <w:sz w:val="24"/>
          <w:szCs w:val="24"/>
        </w:rPr>
        <w:t xml:space="preserve"> </w:t>
      </w:r>
      <w:r w:rsidR="006A65B6" w:rsidRPr="00EC01F6">
        <w:rPr>
          <w:rFonts w:ascii="Times New Roman" w:hAnsi="Times New Roman" w:cs="Times New Roman"/>
          <w:sz w:val="24"/>
          <w:szCs w:val="24"/>
        </w:rPr>
        <w:t xml:space="preserve">degelijk </w:t>
      </w:r>
      <w:r w:rsidR="003079F2" w:rsidRPr="00EC01F6">
        <w:rPr>
          <w:rFonts w:ascii="Times New Roman" w:hAnsi="Times New Roman" w:cs="Times New Roman"/>
          <w:sz w:val="24"/>
          <w:szCs w:val="24"/>
        </w:rPr>
        <w:t>€ 4 mln.</w:t>
      </w:r>
      <w:r w:rsidR="006A65B6" w:rsidRPr="00EC01F6">
        <w:rPr>
          <w:rFonts w:ascii="Times New Roman" w:hAnsi="Times New Roman" w:cs="Times New Roman"/>
          <w:sz w:val="24"/>
          <w:szCs w:val="24"/>
        </w:rPr>
        <w:t xml:space="preserve"> ontvangen bij verkoop van de onderneming</w:t>
      </w:r>
      <w:r w:rsidR="0084229A" w:rsidRPr="00EC01F6">
        <w:rPr>
          <w:rFonts w:ascii="Times New Roman" w:hAnsi="Times New Roman" w:cs="Times New Roman"/>
          <w:sz w:val="24"/>
          <w:szCs w:val="24"/>
        </w:rPr>
        <w:t>. D</w:t>
      </w:r>
      <w:r w:rsidR="006A65B6" w:rsidRPr="00EC01F6">
        <w:rPr>
          <w:rFonts w:ascii="Times New Roman" w:hAnsi="Times New Roman" w:cs="Times New Roman"/>
          <w:sz w:val="24"/>
          <w:szCs w:val="24"/>
        </w:rPr>
        <w:t xml:space="preserve">e vraag </w:t>
      </w:r>
      <w:r w:rsidR="0084229A" w:rsidRPr="00EC01F6">
        <w:rPr>
          <w:rFonts w:ascii="Times New Roman" w:hAnsi="Times New Roman" w:cs="Times New Roman"/>
          <w:sz w:val="24"/>
          <w:szCs w:val="24"/>
        </w:rPr>
        <w:t xml:space="preserve">is dus </w:t>
      </w:r>
      <w:r w:rsidR="006A65B6" w:rsidRPr="00EC01F6">
        <w:rPr>
          <w:rFonts w:ascii="Times New Roman" w:hAnsi="Times New Roman" w:cs="Times New Roman"/>
          <w:sz w:val="24"/>
          <w:szCs w:val="24"/>
        </w:rPr>
        <w:t xml:space="preserve">of uitgaan van de </w:t>
      </w:r>
      <w:r w:rsidR="006A65B6" w:rsidRPr="00EC01F6">
        <w:rPr>
          <w:rFonts w:ascii="Times New Roman" w:hAnsi="Times New Roman" w:cs="Times New Roman"/>
          <w:i/>
          <w:sz w:val="24"/>
          <w:szCs w:val="24"/>
        </w:rPr>
        <w:t>going-concern</w:t>
      </w:r>
      <w:r w:rsidR="006A65B6" w:rsidRPr="00EC01F6">
        <w:rPr>
          <w:rFonts w:ascii="Times New Roman" w:hAnsi="Times New Roman" w:cs="Times New Roman"/>
          <w:sz w:val="24"/>
          <w:szCs w:val="24"/>
        </w:rPr>
        <w:t xml:space="preserve">-waarde bij overdracht niet een schenkingselement bevat. De spreker betoogt niet dat het </w:t>
      </w:r>
      <w:r w:rsidR="0084229A" w:rsidRPr="00EC01F6">
        <w:rPr>
          <w:rFonts w:ascii="Times New Roman" w:hAnsi="Times New Roman" w:cs="Times New Roman"/>
          <w:sz w:val="24"/>
          <w:szCs w:val="24"/>
        </w:rPr>
        <w:t>waarderings</w:t>
      </w:r>
      <w:r w:rsidR="006A65B6" w:rsidRPr="00EC01F6">
        <w:rPr>
          <w:rFonts w:ascii="Times New Roman" w:hAnsi="Times New Roman" w:cs="Times New Roman"/>
          <w:sz w:val="24"/>
          <w:szCs w:val="24"/>
        </w:rPr>
        <w:t xml:space="preserve">verschil </w:t>
      </w:r>
      <w:r w:rsidR="00193064" w:rsidRPr="00EC01F6">
        <w:rPr>
          <w:rFonts w:ascii="Times New Roman" w:hAnsi="Times New Roman" w:cs="Times New Roman"/>
          <w:sz w:val="24"/>
          <w:szCs w:val="24"/>
        </w:rPr>
        <w:t>bij een reële bedrijfsoverdracht</w:t>
      </w:r>
      <w:r w:rsidR="006A65B6" w:rsidRPr="00EC01F6">
        <w:rPr>
          <w:rFonts w:ascii="Times New Roman" w:hAnsi="Times New Roman" w:cs="Times New Roman"/>
          <w:sz w:val="24"/>
          <w:szCs w:val="24"/>
        </w:rPr>
        <w:t xml:space="preserve"> met schenkbelasting moet worden belast, maar het is volgens hem van belang om dat in de gaten te houden</w:t>
      </w:r>
      <w:r w:rsidR="00193064" w:rsidRPr="00EC01F6">
        <w:rPr>
          <w:rFonts w:ascii="Times New Roman" w:hAnsi="Times New Roman" w:cs="Times New Roman"/>
          <w:sz w:val="24"/>
          <w:szCs w:val="24"/>
        </w:rPr>
        <w:t xml:space="preserve"> of er in bepaalde situaties geen oneigenlijk gebruik van wordt gemaakt</w:t>
      </w:r>
      <w:r w:rsidR="006A65B6" w:rsidRPr="00EC01F6">
        <w:rPr>
          <w:rFonts w:ascii="Times New Roman" w:hAnsi="Times New Roman" w:cs="Times New Roman"/>
          <w:sz w:val="24"/>
          <w:szCs w:val="24"/>
        </w:rPr>
        <w:t>.</w:t>
      </w:r>
    </w:p>
    <w:p w14:paraId="3A50430B" w14:textId="5EC87FFD" w:rsidR="008D5ED3" w:rsidRPr="00EC01F6" w:rsidRDefault="008D5ED3"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Verder is er in het licht van de zakelijk versus onzakelijk discussie een probleem met betrekking tot het gebruikersvoordeel. In het Besluit IB-winst landbouw</w:t>
      </w:r>
      <w:r w:rsidR="0084229A" w:rsidRPr="00EC01F6">
        <w:rPr>
          <w:rFonts w:ascii="Times New Roman" w:hAnsi="Times New Roman" w:cs="Times New Roman"/>
          <w:sz w:val="24"/>
          <w:szCs w:val="24"/>
        </w:rPr>
        <w:t>problematiek</w:t>
      </w:r>
      <w:r w:rsidRPr="00EC01F6">
        <w:rPr>
          <w:rStyle w:val="Voetnootmarkering"/>
          <w:rFonts w:ascii="Times New Roman" w:hAnsi="Times New Roman" w:cs="Times New Roman"/>
          <w:sz w:val="24"/>
          <w:szCs w:val="24"/>
        </w:rPr>
        <w:footnoteReference w:id="39"/>
      </w:r>
      <w:r w:rsidRPr="00EC01F6">
        <w:rPr>
          <w:rFonts w:ascii="Times New Roman" w:hAnsi="Times New Roman" w:cs="Times New Roman"/>
          <w:sz w:val="24"/>
          <w:szCs w:val="24"/>
        </w:rPr>
        <w:t xml:space="preserve"> wordt het gebruikersvoordeel genoemd</w:t>
      </w:r>
      <w:r w:rsidR="00435593" w:rsidRPr="00EC01F6">
        <w:rPr>
          <w:rFonts w:ascii="Times New Roman" w:hAnsi="Times New Roman" w:cs="Times New Roman"/>
          <w:sz w:val="24"/>
          <w:szCs w:val="24"/>
        </w:rPr>
        <w:t>;</w:t>
      </w:r>
      <w:r w:rsidRPr="00EC01F6">
        <w:rPr>
          <w:rFonts w:ascii="Times New Roman" w:hAnsi="Times New Roman" w:cs="Times New Roman"/>
          <w:sz w:val="24"/>
          <w:szCs w:val="24"/>
        </w:rPr>
        <w:t xml:space="preserve"> de spreker is </w:t>
      </w:r>
      <w:r w:rsidR="00B51F26" w:rsidRPr="00EC01F6">
        <w:rPr>
          <w:rFonts w:ascii="Times New Roman" w:hAnsi="Times New Roman" w:cs="Times New Roman"/>
          <w:sz w:val="24"/>
          <w:szCs w:val="24"/>
        </w:rPr>
        <w:t>ervan</w:t>
      </w:r>
      <w:r w:rsidRPr="00EC01F6">
        <w:rPr>
          <w:rFonts w:ascii="Times New Roman" w:hAnsi="Times New Roman" w:cs="Times New Roman"/>
          <w:sz w:val="24"/>
          <w:szCs w:val="24"/>
        </w:rPr>
        <w:t xml:space="preserve"> overtuigd dat dit voordeel er ook daadwerkelijk is. </w:t>
      </w:r>
      <w:r w:rsidR="00E83A25" w:rsidRPr="00EC01F6">
        <w:rPr>
          <w:rFonts w:ascii="Times New Roman" w:hAnsi="Times New Roman" w:cs="Times New Roman"/>
          <w:sz w:val="24"/>
          <w:szCs w:val="24"/>
        </w:rPr>
        <w:t>B</w:t>
      </w:r>
      <w:r w:rsidRPr="00EC01F6">
        <w:rPr>
          <w:rFonts w:ascii="Times New Roman" w:hAnsi="Times New Roman" w:cs="Times New Roman"/>
          <w:sz w:val="24"/>
          <w:szCs w:val="24"/>
        </w:rPr>
        <w:t xml:space="preserve">ij gebruikersvoordeel ten aanzien van landbouwgrond kan niet worden voldaan aan de </w:t>
      </w:r>
      <w:r w:rsidR="00462F6D" w:rsidRPr="00EC01F6">
        <w:rPr>
          <w:rFonts w:ascii="Times New Roman" w:hAnsi="Times New Roman" w:cs="Times New Roman"/>
          <w:sz w:val="24"/>
          <w:szCs w:val="24"/>
        </w:rPr>
        <w:t xml:space="preserve">vereisten van de landbouwvrijstelling. </w:t>
      </w:r>
      <w:r w:rsidR="00B005D9" w:rsidRPr="00EC01F6">
        <w:rPr>
          <w:rFonts w:ascii="Times New Roman" w:hAnsi="Times New Roman" w:cs="Times New Roman"/>
          <w:sz w:val="24"/>
          <w:szCs w:val="24"/>
        </w:rPr>
        <w:t xml:space="preserve">Dit knelpunt moet volgens de spreker </w:t>
      </w:r>
      <w:r w:rsidR="00193064" w:rsidRPr="00EC01F6">
        <w:rPr>
          <w:rFonts w:ascii="Times New Roman" w:hAnsi="Times New Roman" w:cs="Times New Roman"/>
          <w:sz w:val="24"/>
          <w:szCs w:val="24"/>
        </w:rPr>
        <w:t xml:space="preserve">gezien de correlatie met de schenking </w:t>
      </w:r>
      <w:r w:rsidR="00B005D9" w:rsidRPr="00EC01F6">
        <w:rPr>
          <w:rFonts w:ascii="Times New Roman" w:hAnsi="Times New Roman" w:cs="Times New Roman"/>
          <w:sz w:val="24"/>
          <w:szCs w:val="24"/>
        </w:rPr>
        <w:t xml:space="preserve">ook meegenomen worden bij de eventuele herziening van de </w:t>
      </w:r>
      <w:r w:rsidR="001B0260" w:rsidRPr="00EC01F6">
        <w:rPr>
          <w:rFonts w:ascii="Times New Roman" w:hAnsi="Times New Roman" w:cs="Times New Roman"/>
          <w:sz w:val="24"/>
          <w:szCs w:val="24"/>
        </w:rPr>
        <w:t>S</w:t>
      </w:r>
      <w:r w:rsidR="00B005D9" w:rsidRPr="00EC01F6">
        <w:rPr>
          <w:rFonts w:ascii="Times New Roman" w:hAnsi="Times New Roman" w:cs="Times New Roman"/>
          <w:sz w:val="24"/>
          <w:szCs w:val="24"/>
        </w:rPr>
        <w:t>uccessiewet</w:t>
      </w:r>
      <w:r w:rsidR="001B0260" w:rsidRPr="00EC01F6">
        <w:rPr>
          <w:rFonts w:ascii="Times New Roman" w:hAnsi="Times New Roman" w:cs="Times New Roman"/>
          <w:sz w:val="24"/>
          <w:szCs w:val="24"/>
        </w:rPr>
        <w:t xml:space="preserve"> 1956</w:t>
      </w:r>
      <w:r w:rsidR="00B005D9" w:rsidRPr="00EC01F6">
        <w:rPr>
          <w:rFonts w:ascii="Times New Roman" w:hAnsi="Times New Roman" w:cs="Times New Roman"/>
          <w:sz w:val="24"/>
          <w:szCs w:val="24"/>
        </w:rPr>
        <w:t>.</w:t>
      </w:r>
      <w:r w:rsidR="001B0260" w:rsidRPr="00EC01F6">
        <w:rPr>
          <w:rFonts w:ascii="Times New Roman" w:hAnsi="Times New Roman" w:cs="Times New Roman"/>
          <w:sz w:val="24"/>
          <w:szCs w:val="24"/>
        </w:rPr>
        <w:t xml:space="preserve"> </w:t>
      </w:r>
    </w:p>
    <w:p w14:paraId="3428D616" w14:textId="38C781B6" w:rsidR="00274C59" w:rsidRDefault="002E0526"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Verder houdt Van den Kerkhof de ontwikkeling omtrent de bedrijfsopvolgingsfaciliteit nauwlettend in de gaten. Er ontstaat een wezenlijk probleem als die faciliteit integraal wordt afgeschaft. </w:t>
      </w:r>
      <w:r w:rsidR="00B51F26" w:rsidRPr="00EC01F6">
        <w:rPr>
          <w:rFonts w:ascii="Times New Roman" w:hAnsi="Times New Roman" w:cs="Times New Roman"/>
          <w:sz w:val="24"/>
          <w:szCs w:val="24"/>
        </w:rPr>
        <w:t>Zijns inziens</w:t>
      </w:r>
      <w:r w:rsidRPr="00EC01F6">
        <w:rPr>
          <w:rFonts w:ascii="Times New Roman" w:hAnsi="Times New Roman" w:cs="Times New Roman"/>
          <w:sz w:val="24"/>
          <w:szCs w:val="24"/>
        </w:rPr>
        <w:t xml:space="preserve"> zijn de plannen voor afschaffing ontstaan door oneigenlijk gebruik van de regeling.</w:t>
      </w:r>
    </w:p>
    <w:p w14:paraId="58C7FD68" w14:textId="77777777" w:rsidR="00274C59" w:rsidRDefault="00274C59">
      <w:pPr>
        <w:rPr>
          <w:rFonts w:ascii="Times New Roman" w:hAnsi="Times New Roman" w:cs="Times New Roman"/>
          <w:sz w:val="24"/>
          <w:szCs w:val="24"/>
        </w:rPr>
      </w:pPr>
      <w:r>
        <w:rPr>
          <w:rFonts w:ascii="Times New Roman" w:hAnsi="Times New Roman" w:cs="Times New Roman"/>
          <w:sz w:val="24"/>
          <w:szCs w:val="24"/>
        </w:rPr>
        <w:br w:type="page"/>
      </w:r>
    </w:p>
    <w:p w14:paraId="1DA9E2B6" w14:textId="77777777" w:rsidR="002E0526" w:rsidRPr="00EC01F6" w:rsidRDefault="002E0526" w:rsidP="00EC01F6">
      <w:pPr>
        <w:ind w:left="360"/>
        <w:rPr>
          <w:rFonts w:ascii="Times New Roman" w:hAnsi="Times New Roman" w:cs="Times New Roman"/>
          <w:i/>
          <w:sz w:val="24"/>
          <w:szCs w:val="24"/>
        </w:rPr>
      </w:pPr>
      <w:r w:rsidRPr="00EC01F6">
        <w:rPr>
          <w:rFonts w:ascii="Times New Roman" w:hAnsi="Times New Roman" w:cs="Times New Roman"/>
          <w:i/>
          <w:sz w:val="24"/>
          <w:szCs w:val="24"/>
        </w:rPr>
        <w:lastRenderedPageBreak/>
        <w:t xml:space="preserve">4.4 </w:t>
      </w:r>
      <w:r w:rsidR="00A664D1" w:rsidRPr="00EC01F6">
        <w:rPr>
          <w:rFonts w:ascii="Times New Roman" w:hAnsi="Times New Roman" w:cs="Times New Roman"/>
          <w:i/>
          <w:sz w:val="24"/>
          <w:szCs w:val="24"/>
        </w:rPr>
        <w:t>O</w:t>
      </w:r>
      <w:r w:rsidRPr="00EC01F6">
        <w:rPr>
          <w:rFonts w:ascii="Times New Roman" w:hAnsi="Times New Roman" w:cs="Times New Roman"/>
          <w:i/>
          <w:sz w:val="24"/>
          <w:szCs w:val="24"/>
        </w:rPr>
        <w:t>verdrachtsbelasting</w:t>
      </w:r>
    </w:p>
    <w:p w14:paraId="196B15FE" w14:textId="17C3B664" w:rsidR="005C6EE9" w:rsidRPr="00EC01F6" w:rsidRDefault="002E0526"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De spreker neemt ten slotte het hoofdstuk overdrachtsbelasting van het rapport onder de loep. De problemen worden inderdaad voor een heel groot gedeelte weggenomen </w:t>
      </w:r>
      <w:r w:rsidR="004E281B" w:rsidRPr="00EC01F6">
        <w:rPr>
          <w:rFonts w:ascii="Times New Roman" w:hAnsi="Times New Roman" w:cs="Times New Roman"/>
          <w:sz w:val="24"/>
          <w:szCs w:val="24"/>
        </w:rPr>
        <w:t>d</w:t>
      </w:r>
      <w:r w:rsidRPr="00EC01F6">
        <w:rPr>
          <w:rFonts w:ascii="Times New Roman" w:hAnsi="Times New Roman" w:cs="Times New Roman"/>
          <w:sz w:val="24"/>
          <w:szCs w:val="24"/>
        </w:rPr>
        <w:t xml:space="preserve">oor de nieuwe voorstellen voor het personenvennootschappenrecht. </w:t>
      </w:r>
    </w:p>
    <w:p w14:paraId="3C377BC1" w14:textId="309CEA19" w:rsidR="002E0526" w:rsidRPr="00EC01F6" w:rsidRDefault="005C6EE9"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In aanvulling op de genoemde problemen wil de spreker graag wijzen op de volgende knelpunten. </w:t>
      </w:r>
      <w:r w:rsidR="002E0526" w:rsidRPr="00EC01F6">
        <w:rPr>
          <w:rFonts w:ascii="Times New Roman" w:hAnsi="Times New Roman" w:cs="Times New Roman"/>
          <w:sz w:val="24"/>
          <w:szCs w:val="24"/>
        </w:rPr>
        <w:t>De vrijstelling op grond van art. 15</w:t>
      </w:r>
      <w:r w:rsidR="00435593" w:rsidRPr="00EC01F6">
        <w:rPr>
          <w:rFonts w:ascii="Times New Roman" w:hAnsi="Times New Roman" w:cs="Times New Roman"/>
          <w:sz w:val="24"/>
          <w:szCs w:val="24"/>
        </w:rPr>
        <w:t xml:space="preserve"> lid 1</w:t>
      </w:r>
      <w:r w:rsidR="002E0526" w:rsidRPr="00EC01F6">
        <w:rPr>
          <w:rFonts w:ascii="Times New Roman" w:hAnsi="Times New Roman" w:cs="Times New Roman"/>
          <w:sz w:val="24"/>
          <w:szCs w:val="24"/>
        </w:rPr>
        <w:t xml:space="preserve"> onderdeel e Wet BRV </w:t>
      </w:r>
      <w:r w:rsidR="00B4704C" w:rsidRPr="00EC01F6">
        <w:rPr>
          <w:rFonts w:ascii="Times New Roman" w:hAnsi="Times New Roman" w:cs="Times New Roman"/>
          <w:sz w:val="24"/>
          <w:szCs w:val="24"/>
        </w:rPr>
        <w:t xml:space="preserve">1970 </w:t>
      </w:r>
      <w:r w:rsidR="003A5FC7" w:rsidRPr="00EC01F6">
        <w:rPr>
          <w:rFonts w:ascii="Times New Roman" w:hAnsi="Times New Roman" w:cs="Times New Roman"/>
          <w:sz w:val="24"/>
          <w:szCs w:val="24"/>
        </w:rPr>
        <w:t>is nu een probleem voor gevallen waarbij een onderneming moet worden ingebracht in een personenvennootschap. Verder ontstaan er problemen als bij toepassing van art. 15 lid</w:t>
      </w:r>
      <w:r w:rsidR="00435593" w:rsidRPr="00EC01F6">
        <w:rPr>
          <w:rFonts w:ascii="Times New Roman" w:hAnsi="Times New Roman" w:cs="Times New Roman"/>
          <w:sz w:val="24"/>
          <w:szCs w:val="24"/>
        </w:rPr>
        <w:t xml:space="preserve"> 1 </w:t>
      </w:r>
      <w:r w:rsidR="003A5FC7" w:rsidRPr="00EC01F6">
        <w:rPr>
          <w:rFonts w:ascii="Times New Roman" w:hAnsi="Times New Roman" w:cs="Times New Roman"/>
          <w:sz w:val="24"/>
          <w:szCs w:val="24"/>
        </w:rPr>
        <w:t>onderdeel b Wet BRV 1970 de potentiële bedrijfsopvolger zich terugtrekt. Ten slotte zijn er nog problemen bij ontbinding van personenvennootschappen gevolgd door het aangaan van een nieuwe personenvennootschap.</w:t>
      </w:r>
    </w:p>
    <w:p w14:paraId="2C97A060" w14:textId="77777777" w:rsidR="00193064" w:rsidRPr="00EC01F6" w:rsidRDefault="00193064" w:rsidP="00EC01F6">
      <w:pPr>
        <w:pStyle w:val="Lijstalinea"/>
        <w:numPr>
          <w:ilvl w:val="0"/>
          <w:numId w:val="2"/>
        </w:numPr>
        <w:tabs>
          <w:tab w:val="left" w:pos="4820"/>
        </w:tabs>
        <w:rPr>
          <w:rFonts w:ascii="Times New Roman" w:hAnsi="Times New Roman" w:cs="Times New Roman"/>
          <w:sz w:val="24"/>
          <w:szCs w:val="24"/>
        </w:rPr>
      </w:pPr>
      <w:r w:rsidRPr="00EC01F6">
        <w:rPr>
          <w:rFonts w:ascii="Times New Roman" w:hAnsi="Times New Roman" w:cs="Times New Roman"/>
          <w:i/>
          <w:sz w:val="24"/>
          <w:szCs w:val="24"/>
        </w:rPr>
        <w:t>Reflecties vanuit internationale perspectief - Pötgens</w:t>
      </w:r>
      <w:r w:rsidRPr="00EC01F6">
        <w:rPr>
          <w:rStyle w:val="Voetnootmarkering"/>
          <w:rFonts w:ascii="Times New Roman" w:hAnsi="Times New Roman" w:cs="Times New Roman"/>
          <w:sz w:val="24"/>
          <w:szCs w:val="24"/>
        </w:rPr>
        <w:footnoteReference w:id="40"/>
      </w:r>
    </w:p>
    <w:p w14:paraId="4FF051EC" w14:textId="51D747F8" w:rsidR="00193064" w:rsidRPr="00EC01F6" w:rsidRDefault="0019306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Ook Pötgens is zeer complimenteus over het rapport en noemt het internationale hoofdstuk schier indrukwekkend. Prachtig als problemen worden aangekaart en mooi als daarvoor een oplossing wordt geboden, maar nog mooier als een nieuw systeem wordt bedacht dat als een beter alternatief kan dienen .</w:t>
      </w:r>
    </w:p>
    <w:p w14:paraId="5183BCC6" w14:textId="77777777" w:rsidR="00193064" w:rsidRPr="00EC01F6" w:rsidRDefault="00193064" w:rsidP="00EC01F6">
      <w:pPr>
        <w:ind w:left="360"/>
        <w:rPr>
          <w:rFonts w:ascii="Times New Roman" w:hAnsi="Times New Roman" w:cs="Times New Roman"/>
          <w:i/>
          <w:sz w:val="24"/>
          <w:szCs w:val="24"/>
        </w:rPr>
      </w:pPr>
      <w:r w:rsidRPr="00EC01F6">
        <w:rPr>
          <w:rFonts w:ascii="Times New Roman" w:hAnsi="Times New Roman" w:cs="Times New Roman"/>
          <w:i/>
          <w:sz w:val="24"/>
          <w:szCs w:val="24"/>
        </w:rPr>
        <w:t>5.1 Inkomstenbelasting</w:t>
      </w:r>
    </w:p>
    <w:p w14:paraId="45EDE34D" w14:textId="38C78B48" w:rsidR="00193064" w:rsidRPr="00EC01F6" w:rsidRDefault="0019306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In het hoofdstuk van het rapport over het nieuwe systeem van Doornebal en Van Kempen is reeds opgemerkt dat voor de belastingheffing van buitenlandse belastingplichtigen die deelnemen in een personenvennootschap aangesloten kan worden bij de regeling voor binnenlandse belastingplicht. Nadat de buitenlandse belastingplicht is vastgesteld, moet worden vastgesteld of door Nederland gesloten belastingverdragen een beperking aanbrengen in de buitenlandse belastingplicht of haar uitsluiten. In dat kader is volgens de spreker vooral de ‘bijheffing’ (tweede fase; bij onttrekking aan vennootschap) interessant. </w:t>
      </w:r>
      <w:r w:rsidRPr="00AE1411">
        <w:rPr>
          <w:rFonts w:ascii="Times New Roman" w:hAnsi="Times New Roman" w:cs="Times New Roman"/>
          <w:sz w:val="24"/>
          <w:szCs w:val="24"/>
        </w:rPr>
        <w:t>Pötgens</w:t>
      </w:r>
      <w:r w:rsidR="00AE1411" w:rsidRPr="00AE1411">
        <w:rPr>
          <w:rFonts w:ascii="Times New Roman" w:hAnsi="Times New Roman" w:cs="Times New Roman"/>
          <w:sz w:val="24"/>
          <w:szCs w:val="24"/>
        </w:rPr>
        <w:t xml:space="preserve"> </w:t>
      </w:r>
      <w:r w:rsidR="00AE1411">
        <w:rPr>
          <w:rFonts w:ascii="Times New Roman" w:hAnsi="Times New Roman" w:cs="Times New Roman"/>
          <w:sz w:val="24"/>
          <w:szCs w:val="24"/>
        </w:rPr>
        <w:t xml:space="preserve">concludeert </w:t>
      </w:r>
      <w:r w:rsidR="00AE1411" w:rsidRPr="00AE1411">
        <w:rPr>
          <w:rFonts w:ascii="Times New Roman" w:hAnsi="Times New Roman" w:cs="Times New Roman"/>
          <w:sz w:val="24"/>
          <w:szCs w:val="24"/>
        </w:rPr>
        <w:t>dat</w:t>
      </w:r>
      <w:r w:rsidRPr="00AE1411">
        <w:rPr>
          <w:rFonts w:ascii="Times New Roman" w:hAnsi="Times New Roman" w:cs="Times New Roman"/>
          <w:sz w:val="24"/>
          <w:szCs w:val="24"/>
        </w:rPr>
        <w:t xml:space="preserve"> </w:t>
      </w:r>
      <w:r w:rsidR="00AE1411" w:rsidRPr="00AE1411">
        <w:rPr>
          <w:rFonts w:ascii="Times New Roman" w:hAnsi="Times New Roman" w:cs="Times New Roman"/>
          <w:sz w:val="24"/>
          <w:szCs w:val="24"/>
        </w:rPr>
        <w:t xml:space="preserve">de </w:t>
      </w:r>
      <w:r w:rsidRPr="00AE1411">
        <w:rPr>
          <w:rFonts w:ascii="Times New Roman" w:hAnsi="Times New Roman" w:cs="Times New Roman"/>
          <w:sz w:val="24"/>
          <w:szCs w:val="24"/>
        </w:rPr>
        <w:t xml:space="preserve">schrijvers van het rapport </w:t>
      </w:r>
      <w:r w:rsidR="00AE1411" w:rsidRPr="00AE1411">
        <w:rPr>
          <w:rFonts w:ascii="Times New Roman" w:hAnsi="Times New Roman" w:cs="Times New Roman"/>
          <w:sz w:val="24"/>
          <w:szCs w:val="24"/>
        </w:rPr>
        <w:t xml:space="preserve">van mening zijn </w:t>
      </w:r>
      <w:r w:rsidRPr="00AE1411">
        <w:rPr>
          <w:rFonts w:ascii="Times New Roman" w:hAnsi="Times New Roman" w:cs="Times New Roman"/>
          <w:sz w:val="24"/>
          <w:szCs w:val="24"/>
        </w:rPr>
        <w:t>dat in beginsel art. 7 OESO-modelverdrag van toepassing is met betrekking tot die bijheffing. Ma</w:t>
      </w:r>
      <w:r w:rsidRPr="00EC01F6">
        <w:rPr>
          <w:rFonts w:ascii="Times New Roman" w:hAnsi="Times New Roman" w:cs="Times New Roman"/>
          <w:sz w:val="24"/>
          <w:szCs w:val="24"/>
        </w:rPr>
        <w:t xml:space="preserve">ar, zo merkt hij op, er bestaat een risico dat staten de heffing zien als een belasting over winstoverheveling van een vaste inrichting. In dat geval komt de bijheffing in strijd met het verbod op een </w:t>
      </w:r>
      <w:r w:rsidRPr="00EC01F6">
        <w:rPr>
          <w:rFonts w:ascii="Times New Roman" w:hAnsi="Times New Roman" w:cs="Times New Roman"/>
          <w:i/>
          <w:sz w:val="24"/>
          <w:szCs w:val="24"/>
        </w:rPr>
        <w:t xml:space="preserve">branch profit tax </w:t>
      </w:r>
      <w:r w:rsidRPr="00EC01F6">
        <w:rPr>
          <w:rFonts w:ascii="Times New Roman" w:hAnsi="Times New Roman" w:cs="Times New Roman"/>
          <w:sz w:val="24"/>
          <w:szCs w:val="24"/>
        </w:rPr>
        <w:t xml:space="preserve">zoals die bestaat onder het OESO-modelverdrag. Een branch profits tax is expliciet geregeld onder het belastingverdrag </w:t>
      </w:r>
      <w:r w:rsidR="00AE1411">
        <w:rPr>
          <w:rFonts w:ascii="Times New Roman" w:hAnsi="Times New Roman" w:cs="Times New Roman"/>
          <w:sz w:val="24"/>
          <w:szCs w:val="24"/>
        </w:rPr>
        <w:t xml:space="preserve">met </w:t>
      </w:r>
      <w:r w:rsidRPr="00EC01F6">
        <w:rPr>
          <w:rFonts w:ascii="Times New Roman" w:hAnsi="Times New Roman" w:cs="Times New Roman"/>
          <w:sz w:val="24"/>
          <w:szCs w:val="24"/>
        </w:rPr>
        <w:t xml:space="preserve">de Verenigde Staten (art. 11). </w:t>
      </w:r>
      <w:r w:rsidR="00AE1411">
        <w:rPr>
          <w:rFonts w:ascii="Times New Roman" w:hAnsi="Times New Roman" w:cs="Times New Roman"/>
          <w:sz w:val="24"/>
          <w:szCs w:val="24"/>
        </w:rPr>
        <w:t xml:space="preserve">Pötgens </w:t>
      </w:r>
      <w:r w:rsidR="00AE1411" w:rsidRPr="00AE1411">
        <w:rPr>
          <w:rFonts w:ascii="Times New Roman" w:hAnsi="Times New Roman" w:cs="Times New Roman"/>
          <w:sz w:val="24"/>
          <w:szCs w:val="24"/>
        </w:rPr>
        <w:t xml:space="preserve">denkt </w:t>
      </w:r>
      <w:r w:rsidRPr="00AE1411">
        <w:rPr>
          <w:rFonts w:ascii="Times New Roman" w:hAnsi="Times New Roman" w:cs="Times New Roman"/>
          <w:sz w:val="24"/>
          <w:szCs w:val="24"/>
        </w:rPr>
        <w:t xml:space="preserve">dat </w:t>
      </w:r>
      <w:r w:rsidR="00AE1411" w:rsidRPr="00AE1411">
        <w:rPr>
          <w:rFonts w:ascii="Times New Roman" w:hAnsi="Times New Roman" w:cs="Times New Roman"/>
          <w:sz w:val="24"/>
          <w:szCs w:val="24"/>
        </w:rPr>
        <w:t>de</w:t>
      </w:r>
      <w:r w:rsidRPr="00AE1411">
        <w:rPr>
          <w:rFonts w:ascii="Times New Roman" w:hAnsi="Times New Roman" w:cs="Times New Roman"/>
          <w:sz w:val="24"/>
          <w:szCs w:val="24"/>
        </w:rPr>
        <w:t xml:space="preserve"> arresten </w:t>
      </w:r>
      <w:r w:rsidR="00AE1411" w:rsidRPr="00AE1411">
        <w:rPr>
          <w:rFonts w:ascii="Times New Roman" w:hAnsi="Times New Roman" w:cs="Times New Roman"/>
          <w:sz w:val="24"/>
          <w:szCs w:val="24"/>
        </w:rPr>
        <w:t xml:space="preserve">van de Hoge Raad </w:t>
      </w:r>
      <w:r w:rsidRPr="00AE1411">
        <w:rPr>
          <w:rFonts w:ascii="Times New Roman" w:hAnsi="Times New Roman" w:cs="Times New Roman"/>
          <w:sz w:val="24"/>
          <w:szCs w:val="24"/>
        </w:rPr>
        <w:t xml:space="preserve">over nagekomen baten van vaste inrichtingen wellicht illustratief zijn </w:t>
      </w:r>
      <w:r w:rsidR="00AE1411" w:rsidRPr="00AE1411">
        <w:rPr>
          <w:rFonts w:ascii="Times New Roman" w:hAnsi="Times New Roman" w:cs="Times New Roman"/>
          <w:sz w:val="24"/>
          <w:szCs w:val="24"/>
        </w:rPr>
        <w:t xml:space="preserve">om </w:t>
      </w:r>
      <w:r w:rsidRPr="00AE1411">
        <w:rPr>
          <w:rFonts w:ascii="Times New Roman" w:hAnsi="Times New Roman" w:cs="Times New Roman"/>
          <w:sz w:val="24"/>
          <w:szCs w:val="24"/>
        </w:rPr>
        <w:t>de bijheffing onder art. 7 OESO-modelverdrag te begrijpen.</w:t>
      </w:r>
      <w:r w:rsidRPr="00AE1411">
        <w:rPr>
          <w:rStyle w:val="Voetnootmarkering"/>
          <w:rFonts w:ascii="Times New Roman" w:hAnsi="Times New Roman" w:cs="Times New Roman"/>
          <w:sz w:val="24"/>
          <w:szCs w:val="24"/>
        </w:rPr>
        <w:footnoteReference w:id="41"/>
      </w:r>
      <w:r w:rsidRPr="00AE1411">
        <w:rPr>
          <w:rFonts w:ascii="Times New Roman" w:hAnsi="Times New Roman" w:cs="Times New Roman"/>
          <w:sz w:val="24"/>
          <w:szCs w:val="24"/>
        </w:rPr>
        <w:t xml:space="preserve"> </w:t>
      </w:r>
      <w:r w:rsidR="00AE1411" w:rsidRPr="00AE1411">
        <w:rPr>
          <w:rFonts w:ascii="Times New Roman" w:hAnsi="Times New Roman" w:cs="Times New Roman"/>
          <w:sz w:val="24"/>
          <w:szCs w:val="24"/>
        </w:rPr>
        <w:t>Hij</w:t>
      </w:r>
      <w:r w:rsidRPr="00AE1411">
        <w:rPr>
          <w:rFonts w:ascii="Times New Roman" w:hAnsi="Times New Roman" w:cs="Times New Roman"/>
          <w:sz w:val="24"/>
          <w:szCs w:val="24"/>
        </w:rPr>
        <w:t xml:space="preserve"> is</w:t>
      </w:r>
      <w:r w:rsidRPr="00EC01F6">
        <w:rPr>
          <w:rFonts w:ascii="Times New Roman" w:hAnsi="Times New Roman" w:cs="Times New Roman"/>
          <w:sz w:val="24"/>
          <w:szCs w:val="24"/>
        </w:rPr>
        <w:t xml:space="preserve"> voor een specifieke verdrags- of protocolbepaling in de Nederlandse belastingverdragen om zeker te stellen dat beide fasen van het nieuwe systeem onder art. 7 OESO-modelverdrag vallen. Het zou onderdeel van het Nederlandse verdragsbeleid moeten worden dat hiervoor een specifieke verdragsbepaling wordt opgenomen in navolging van een separate clausule die doorwerking van het fictief loon naar de belastingverdragen zou bewerkstelligen.</w:t>
      </w:r>
      <w:r w:rsidRPr="00EC01F6">
        <w:rPr>
          <w:rStyle w:val="Voetnootmarkering"/>
          <w:rFonts w:ascii="Times New Roman" w:hAnsi="Times New Roman" w:cs="Times New Roman"/>
          <w:sz w:val="24"/>
          <w:szCs w:val="24"/>
        </w:rPr>
        <w:footnoteReference w:id="42"/>
      </w:r>
    </w:p>
    <w:p w14:paraId="5235E5FA" w14:textId="3B78326A" w:rsidR="00193064" w:rsidRPr="00EC01F6" w:rsidRDefault="0019306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De spreker vervolgt zijn verhaal met de opmerking dat de bijheffing wellicht voor problemen gaat zorgen voor gevallen waarin de buitenlandse belastingplichtige woont in een zogenaamd </w:t>
      </w:r>
      <w:r w:rsidRPr="00EC01F6">
        <w:rPr>
          <w:rFonts w:ascii="Times New Roman" w:hAnsi="Times New Roman" w:cs="Times New Roman"/>
          <w:i/>
          <w:sz w:val="24"/>
          <w:szCs w:val="24"/>
        </w:rPr>
        <w:t xml:space="preserve">credit </w:t>
      </w:r>
      <w:r w:rsidRPr="00EC01F6">
        <w:rPr>
          <w:rFonts w:ascii="Times New Roman" w:hAnsi="Times New Roman" w:cs="Times New Roman"/>
          <w:sz w:val="24"/>
          <w:szCs w:val="24"/>
        </w:rPr>
        <w:t xml:space="preserve">land. Er moet zeker gesteld worden dat de buitenlandse belastingplichtigen ook voor de bijheffing een </w:t>
      </w:r>
      <w:r w:rsidRPr="00EC01F6">
        <w:rPr>
          <w:rFonts w:ascii="Times New Roman" w:hAnsi="Times New Roman" w:cs="Times New Roman"/>
          <w:i/>
          <w:sz w:val="24"/>
          <w:szCs w:val="24"/>
        </w:rPr>
        <w:t xml:space="preserve">credit </w:t>
      </w:r>
      <w:r w:rsidRPr="00EC01F6">
        <w:rPr>
          <w:rFonts w:ascii="Times New Roman" w:hAnsi="Times New Roman" w:cs="Times New Roman"/>
          <w:sz w:val="24"/>
          <w:szCs w:val="24"/>
        </w:rPr>
        <w:t xml:space="preserve">ontvangen in hun woonstaat. De spreker vraagt zich af of hiertoe belastingverdragen moeten worden heronderhandeld of dat dit zou kunnen worden opgelost via </w:t>
      </w:r>
      <w:r w:rsidRPr="00EC01F6">
        <w:rPr>
          <w:rFonts w:ascii="Times New Roman" w:hAnsi="Times New Roman" w:cs="Times New Roman"/>
          <w:i/>
          <w:sz w:val="24"/>
          <w:szCs w:val="24"/>
        </w:rPr>
        <w:t>mutual agreement procedures</w:t>
      </w:r>
      <w:r w:rsidRPr="00EC01F6">
        <w:rPr>
          <w:rFonts w:ascii="Times New Roman" w:hAnsi="Times New Roman" w:cs="Times New Roman"/>
          <w:sz w:val="24"/>
          <w:szCs w:val="24"/>
        </w:rPr>
        <w:t>?</w:t>
      </w:r>
    </w:p>
    <w:p w14:paraId="78C47BF6" w14:textId="717FDB3F" w:rsidR="00193064" w:rsidRPr="00EC01F6" w:rsidRDefault="0019306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Voor binnenlandse belastingplichtige natuurlijk personen die deelnemen in een buitenlandse personenvennootschap geldt hetzelfde alternatieve systeem. Voor deze gevallen moet het besluit voorkoming dubbele belasting</w:t>
      </w:r>
      <w:r w:rsidRPr="00EC01F6">
        <w:rPr>
          <w:rStyle w:val="Voetnootmarkering"/>
          <w:rFonts w:ascii="Times New Roman" w:hAnsi="Times New Roman" w:cs="Times New Roman"/>
          <w:sz w:val="24"/>
          <w:szCs w:val="24"/>
        </w:rPr>
        <w:footnoteReference w:id="43"/>
      </w:r>
      <w:r w:rsidRPr="00EC01F6">
        <w:rPr>
          <w:rFonts w:ascii="Times New Roman" w:hAnsi="Times New Roman" w:cs="Times New Roman"/>
          <w:sz w:val="24"/>
          <w:szCs w:val="24"/>
        </w:rPr>
        <w:t xml:space="preserve"> worden aangepast, aldus Pötgens. Het rapport wijst volgens de spreker terecht op het volgorde probleem. Als de bijheffing plaatsvindt bij onttrekking en er tevens Nederlandse/niet vrijgestelde (hoofdhuis)winst wordt gerealiseerd, moet voor het besluit voorkoming dubbele belasting worden vastgesteld welke winst wordt geacht het eerst te zijn uitgekeerd. Het rapport stelt voor te kiezen voor het alternatief dat de vrij te stellen vaste inrichting-winst wordt geacht het eerst te zijn uitgekeerd.</w:t>
      </w:r>
      <w:r w:rsidRPr="00EC01F6">
        <w:rPr>
          <w:rStyle w:val="Voetnootmarkering"/>
          <w:rFonts w:ascii="Times New Roman" w:hAnsi="Times New Roman" w:cs="Times New Roman"/>
          <w:sz w:val="24"/>
          <w:szCs w:val="24"/>
        </w:rPr>
        <w:footnoteReference w:id="44"/>
      </w:r>
      <w:r w:rsidRPr="00EC01F6">
        <w:rPr>
          <w:rFonts w:ascii="Times New Roman" w:hAnsi="Times New Roman" w:cs="Times New Roman"/>
          <w:sz w:val="24"/>
          <w:szCs w:val="24"/>
        </w:rPr>
        <w:t xml:space="preserve"> Dat is volgens de spreker een goede oplossing, maar zij is wel complex in de uitvoering.</w:t>
      </w:r>
    </w:p>
    <w:p w14:paraId="24D48BE6" w14:textId="77777777" w:rsidR="00193064" w:rsidRPr="00EC01F6" w:rsidRDefault="00193064" w:rsidP="00EC01F6">
      <w:pPr>
        <w:ind w:left="360"/>
        <w:rPr>
          <w:rFonts w:ascii="Times New Roman" w:hAnsi="Times New Roman" w:cs="Times New Roman"/>
          <w:i/>
          <w:sz w:val="24"/>
          <w:szCs w:val="24"/>
        </w:rPr>
      </w:pPr>
      <w:r w:rsidRPr="00EC01F6">
        <w:rPr>
          <w:rFonts w:ascii="Times New Roman" w:hAnsi="Times New Roman" w:cs="Times New Roman"/>
          <w:i/>
          <w:sz w:val="24"/>
          <w:szCs w:val="24"/>
        </w:rPr>
        <w:t>5.2 Vennootschapsbelasting</w:t>
      </w:r>
    </w:p>
    <w:p w14:paraId="0907B007" w14:textId="77777777" w:rsidR="00193064" w:rsidRPr="00EC01F6" w:rsidRDefault="0019306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Het rapport stelt volgens Pötgens terecht de vraag waarom de doorkijkbepalingen van art. 4, negende en tiende lid, Wet DB 1965 geen evenknie kennen in de Wet VpB 1969.</w:t>
      </w:r>
      <w:r w:rsidRPr="00EC01F6">
        <w:rPr>
          <w:rStyle w:val="Voetnootmarkering"/>
          <w:rFonts w:ascii="Times New Roman" w:hAnsi="Times New Roman" w:cs="Times New Roman"/>
          <w:sz w:val="24"/>
          <w:szCs w:val="24"/>
        </w:rPr>
        <w:footnoteReference w:id="45"/>
      </w:r>
      <w:r w:rsidRPr="00EC01F6">
        <w:rPr>
          <w:rFonts w:ascii="Times New Roman" w:hAnsi="Times New Roman" w:cs="Times New Roman"/>
          <w:sz w:val="24"/>
          <w:szCs w:val="24"/>
        </w:rPr>
        <w:t xml:space="preserve"> Verder stelt de commissie voor om het begrip ‘medegerechtigdheid’ te schrappen uit art. 17a, onderdeel b, Wet VpB 1969 en op te nemen in art. 17, derde lid, onderdeel a, Wet VpB 1969. Op zich kan de spreker zich in deze suggestie vinden, maar hij wijst de gedachte dat de vennootschapsbelastingbelastingplicht van de buitenlandse commandiet exclusief gestoeld wordt op art. 17a, onderdeel b, Wet VpB 1969 af. Deze stelling lijken de commissieleden te baseren op een bepaalde lezing van de parlementaire geschiedenis. Het voorstel om het begrip ‘medegerechtigdheid’ op te nemen in art. 17, derde lid, onderdeel a, Wet VpB 1969 met een verwijzing naar art. 3.3 Wet IB 2001 kan Pötgens steunen, maar hij vraagt zich af of dit nodig is. Dit laatste nog afgezien van het nieuwe personenvennootschapsrecht op basis waarvan de besloten cv rechtspersoonlijkheid krijgt als het doorgang vindt.</w:t>
      </w:r>
    </w:p>
    <w:p w14:paraId="06F8BC3C" w14:textId="77777777" w:rsidR="00193064" w:rsidRPr="00EC01F6" w:rsidRDefault="00193064" w:rsidP="00EC01F6">
      <w:pPr>
        <w:ind w:left="360"/>
        <w:rPr>
          <w:rFonts w:ascii="Times New Roman" w:hAnsi="Times New Roman" w:cs="Times New Roman"/>
          <w:i/>
          <w:sz w:val="24"/>
          <w:szCs w:val="24"/>
        </w:rPr>
      </w:pPr>
      <w:r w:rsidRPr="00EC01F6">
        <w:rPr>
          <w:rFonts w:ascii="Times New Roman" w:hAnsi="Times New Roman" w:cs="Times New Roman"/>
          <w:i/>
          <w:sz w:val="24"/>
          <w:szCs w:val="24"/>
        </w:rPr>
        <w:t>5.3 Dividendbelasting</w:t>
      </w:r>
    </w:p>
    <w:p w14:paraId="0F5A0C69" w14:textId="77777777" w:rsidR="00193064" w:rsidRPr="00EC01F6" w:rsidRDefault="0019306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Onder het nieuwe personenvennootschapsrecht willen de auteurs de transparantie voor belastingdoeleinden handhaven en het begrip ‘opbrengstgerechtigde’ verduidelijken. De spreker is het daar mee eens maar tekent wel aan dat fiscaal transparante rechtspersonen tot classificatieproblemen kunnen leiden. Bepaalde landen volgen een </w:t>
      </w:r>
      <w:r w:rsidRPr="00EC01F6">
        <w:rPr>
          <w:rFonts w:ascii="Times New Roman" w:hAnsi="Times New Roman" w:cs="Times New Roman"/>
          <w:i/>
          <w:sz w:val="24"/>
          <w:szCs w:val="24"/>
        </w:rPr>
        <w:t>corporate resemblance</w:t>
      </w:r>
      <w:r w:rsidRPr="00EC01F6">
        <w:rPr>
          <w:rFonts w:ascii="Times New Roman" w:hAnsi="Times New Roman" w:cs="Times New Roman"/>
          <w:sz w:val="24"/>
          <w:szCs w:val="24"/>
        </w:rPr>
        <w:t xml:space="preserve"> methode en behandelen een rechtspersoon – ongeacht de transparantie in Nederland – als niet-transparant.</w:t>
      </w:r>
    </w:p>
    <w:p w14:paraId="0C9ADDFB" w14:textId="3C40C1F5" w:rsidR="00EB1C17" w:rsidRDefault="0019306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Pötgens merkt kort op dat hij het eens is met een pro-rata benadering bij toepassing van art. 4, negende en tiende lid, Wet BD 1965 (conform art. 3, eerste lid, Multilaterale instrument). </w:t>
      </w:r>
    </w:p>
    <w:p w14:paraId="1B5DB63D" w14:textId="77777777" w:rsidR="00EB1C17" w:rsidRDefault="00EB1C17">
      <w:pPr>
        <w:rPr>
          <w:rFonts w:ascii="Times New Roman" w:hAnsi="Times New Roman" w:cs="Times New Roman"/>
          <w:sz w:val="24"/>
          <w:szCs w:val="24"/>
        </w:rPr>
      </w:pPr>
      <w:r>
        <w:rPr>
          <w:rFonts w:ascii="Times New Roman" w:hAnsi="Times New Roman" w:cs="Times New Roman"/>
          <w:sz w:val="24"/>
          <w:szCs w:val="24"/>
        </w:rPr>
        <w:br w:type="page"/>
      </w:r>
    </w:p>
    <w:p w14:paraId="2C42A4C0" w14:textId="77777777" w:rsidR="00193064" w:rsidRPr="00EC01F6" w:rsidRDefault="00193064" w:rsidP="00EC01F6">
      <w:pPr>
        <w:ind w:left="360"/>
        <w:rPr>
          <w:rFonts w:ascii="Times New Roman" w:hAnsi="Times New Roman" w:cs="Times New Roman"/>
          <w:i/>
          <w:sz w:val="24"/>
          <w:szCs w:val="24"/>
        </w:rPr>
      </w:pPr>
      <w:r w:rsidRPr="00EC01F6">
        <w:rPr>
          <w:rFonts w:ascii="Times New Roman" w:hAnsi="Times New Roman" w:cs="Times New Roman"/>
          <w:i/>
          <w:sz w:val="24"/>
          <w:szCs w:val="24"/>
        </w:rPr>
        <w:t>5.4 Bronbelasting</w:t>
      </w:r>
    </w:p>
    <w:p w14:paraId="13B726EE" w14:textId="693D779A" w:rsidR="00193064" w:rsidRPr="00EC01F6" w:rsidRDefault="0019306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Iets waar het rapport niet op ingaat, maar wat de spreker wel wil aanstippen is de </w:t>
      </w:r>
      <w:r w:rsidRPr="00EC01F6">
        <w:rPr>
          <w:rFonts w:ascii="Times New Roman" w:hAnsi="Times New Roman" w:cs="Times New Roman"/>
          <w:i/>
          <w:sz w:val="24"/>
          <w:szCs w:val="24"/>
        </w:rPr>
        <w:t xml:space="preserve">overkill </w:t>
      </w:r>
      <w:r w:rsidRPr="00EC01F6">
        <w:rPr>
          <w:rFonts w:ascii="Times New Roman" w:hAnsi="Times New Roman" w:cs="Times New Roman"/>
          <w:sz w:val="24"/>
          <w:szCs w:val="24"/>
        </w:rPr>
        <w:t>die de Wet bronbelasting 2021 (de hybride entiteitenbepalingen in art. 2.1, eerste lid, onderdeel d en e alsmede art. 2.1, vierde lid) en de cumulatie ATAD 2 met zich brengen. Verder leidt het begrip ‘samenwerkende groep’ in art. 1.2 Wet bronbelasting 2021 tot rechtsonzekerheid</w:t>
      </w:r>
      <w:r w:rsidR="00EB1C17">
        <w:rPr>
          <w:rFonts w:ascii="Times New Roman" w:hAnsi="Times New Roman" w:cs="Times New Roman"/>
          <w:sz w:val="24"/>
          <w:szCs w:val="24"/>
        </w:rPr>
        <w:t>.</w:t>
      </w:r>
      <w:r w:rsidRPr="00EC01F6">
        <w:rPr>
          <w:rFonts w:ascii="Times New Roman" w:hAnsi="Times New Roman" w:cs="Times New Roman"/>
          <w:sz w:val="24"/>
          <w:szCs w:val="24"/>
        </w:rPr>
        <w:t xml:space="preserve"> Hij heeft begrip voor het prohibitieve karakter van de nieuwe bronbelasting, maar meent dat meer aandacht moet komen voor deze ongewenste effecten zoals ook naar voren is gekomen in het </w:t>
      </w:r>
      <w:r w:rsidRPr="00EC01F6">
        <w:rPr>
          <w:rFonts w:ascii="Times New Roman" w:hAnsi="Times New Roman" w:cs="Times New Roman"/>
          <w:i/>
          <w:sz w:val="24"/>
          <w:szCs w:val="24"/>
        </w:rPr>
        <w:t>WFR</w:t>
      </w:r>
      <w:r w:rsidRPr="00EC01F6">
        <w:rPr>
          <w:rFonts w:ascii="Times New Roman" w:hAnsi="Times New Roman" w:cs="Times New Roman"/>
          <w:sz w:val="24"/>
          <w:szCs w:val="24"/>
        </w:rPr>
        <w:t xml:space="preserve"> 2020/106.</w:t>
      </w:r>
      <w:r w:rsidRPr="00EC01F6">
        <w:rPr>
          <w:rStyle w:val="Voetnootmarkering"/>
          <w:rFonts w:ascii="Times New Roman" w:hAnsi="Times New Roman" w:cs="Times New Roman"/>
          <w:sz w:val="24"/>
          <w:szCs w:val="24"/>
        </w:rPr>
        <w:footnoteReference w:id="46"/>
      </w:r>
    </w:p>
    <w:p w14:paraId="35EFA1E9" w14:textId="42D0E3EB" w:rsidR="00193064" w:rsidRPr="00EC01F6" w:rsidRDefault="0019306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In het genoemde WFR-artikel </w:t>
      </w:r>
      <w:r w:rsidR="00EB1C17">
        <w:rPr>
          <w:rFonts w:ascii="Times New Roman" w:hAnsi="Times New Roman" w:cs="Times New Roman"/>
          <w:sz w:val="24"/>
          <w:szCs w:val="24"/>
        </w:rPr>
        <w:t>w</w:t>
      </w:r>
      <w:r w:rsidRPr="00EC01F6">
        <w:rPr>
          <w:rFonts w:ascii="Times New Roman" w:hAnsi="Times New Roman" w:cs="Times New Roman"/>
          <w:sz w:val="24"/>
          <w:szCs w:val="24"/>
        </w:rPr>
        <w:t>ordt er ook terecht op gewezen dat het toestemmingsvereiste</w:t>
      </w:r>
      <w:r w:rsidRPr="00EC01F6">
        <w:rPr>
          <w:rFonts w:ascii="Times New Roman" w:hAnsi="Times New Roman" w:cs="Times New Roman"/>
          <w:i/>
          <w:sz w:val="24"/>
          <w:szCs w:val="24"/>
        </w:rPr>
        <w:t xml:space="preserve"> </w:t>
      </w:r>
      <w:r w:rsidRPr="00EC01F6">
        <w:rPr>
          <w:rFonts w:ascii="Times New Roman" w:hAnsi="Times New Roman" w:cs="Times New Roman"/>
          <w:sz w:val="24"/>
          <w:szCs w:val="24"/>
        </w:rPr>
        <w:t xml:space="preserve">bij de classificatie van buitenlandse lichamen (cv-achtigen) tot problemen leidt. Dit vereist verdient volgens de spreker heroverweging en hij stelt voor te onderzoeken in hoeverre de </w:t>
      </w:r>
      <w:r w:rsidRPr="00EC01F6">
        <w:rPr>
          <w:rFonts w:ascii="Times New Roman" w:hAnsi="Times New Roman" w:cs="Times New Roman"/>
          <w:i/>
          <w:sz w:val="24"/>
          <w:szCs w:val="24"/>
        </w:rPr>
        <w:t>mismatch</w:t>
      </w:r>
      <w:r w:rsidRPr="00EC01F6">
        <w:rPr>
          <w:rFonts w:ascii="Times New Roman" w:hAnsi="Times New Roman" w:cs="Times New Roman"/>
          <w:sz w:val="24"/>
          <w:szCs w:val="24"/>
        </w:rPr>
        <w:t>-problemen worden opgelost als dit vereiste wordt losgelaten.</w:t>
      </w:r>
    </w:p>
    <w:p w14:paraId="45234348" w14:textId="77777777" w:rsidR="00193064" w:rsidRPr="00EC01F6" w:rsidRDefault="00193064" w:rsidP="00EC01F6">
      <w:pPr>
        <w:ind w:left="360"/>
        <w:rPr>
          <w:rFonts w:ascii="Times New Roman" w:hAnsi="Times New Roman" w:cs="Times New Roman"/>
          <w:i/>
          <w:sz w:val="24"/>
          <w:szCs w:val="24"/>
        </w:rPr>
      </w:pPr>
      <w:r w:rsidRPr="00EC01F6">
        <w:rPr>
          <w:rFonts w:ascii="Times New Roman" w:hAnsi="Times New Roman" w:cs="Times New Roman"/>
          <w:i/>
          <w:sz w:val="24"/>
          <w:szCs w:val="24"/>
        </w:rPr>
        <w:t>5.5 Belastingverdragen</w:t>
      </w:r>
    </w:p>
    <w:p w14:paraId="74D9009D" w14:textId="62C476C0" w:rsidR="00193064" w:rsidRPr="00EC01F6" w:rsidRDefault="0019306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Art. 1, tweede lid, OESO-modelverdrag en art. 3, eerste lid, Multilateraal instrument worden door Nederland gepropageerd blijkens de notitie fiscaal verdragsbeleid.</w:t>
      </w:r>
      <w:r w:rsidRPr="00EC01F6">
        <w:rPr>
          <w:rStyle w:val="Voetnootmarkering"/>
          <w:rFonts w:ascii="Times New Roman" w:hAnsi="Times New Roman" w:cs="Times New Roman"/>
          <w:sz w:val="24"/>
          <w:szCs w:val="24"/>
        </w:rPr>
        <w:footnoteReference w:id="47"/>
      </w:r>
      <w:r w:rsidRPr="00EC01F6">
        <w:rPr>
          <w:rFonts w:ascii="Times New Roman" w:hAnsi="Times New Roman" w:cs="Times New Roman"/>
          <w:sz w:val="24"/>
          <w:szCs w:val="24"/>
        </w:rPr>
        <w:t xml:space="preserve"> Op basis van deze regeling wordt bij de toewijzing van verdragsvoordelen de allocatie volgens de woonstaat gevolgd door de bronstaat. De commissie heeft volgens de spreker terecht opgemerkt dat deze regeling alleen de verdragsgerechtigheid en allocatieverschillen in </w:t>
      </w:r>
      <w:r w:rsidRPr="00EC01F6">
        <w:rPr>
          <w:rFonts w:ascii="Times New Roman" w:hAnsi="Times New Roman" w:cs="Times New Roman"/>
          <w:i/>
          <w:sz w:val="24"/>
          <w:szCs w:val="24"/>
        </w:rPr>
        <w:t>inbound</w:t>
      </w:r>
      <w:r w:rsidRPr="00EC01F6">
        <w:rPr>
          <w:rFonts w:ascii="Times New Roman" w:hAnsi="Times New Roman" w:cs="Times New Roman"/>
          <w:sz w:val="24"/>
          <w:szCs w:val="24"/>
        </w:rPr>
        <w:t xml:space="preserve">-situaties oplost (bronstaatperspectief), maar de problemen bij </w:t>
      </w:r>
      <w:r w:rsidRPr="00EC01F6">
        <w:rPr>
          <w:rFonts w:ascii="Times New Roman" w:hAnsi="Times New Roman" w:cs="Times New Roman"/>
          <w:i/>
          <w:sz w:val="24"/>
          <w:szCs w:val="24"/>
        </w:rPr>
        <w:t>outbound</w:t>
      </w:r>
      <w:r w:rsidRPr="00EC01F6">
        <w:rPr>
          <w:rFonts w:ascii="Times New Roman" w:hAnsi="Times New Roman" w:cs="Times New Roman"/>
          <w:sz w:val="24"/>
          <w:szCs w:val="24"/>
        </w:rPr>
        <w:t>-situaties (dubbele belasting en dubbele niet-belasting</w:t>
      </w:r>
      <w:r w:rsidR="00EB1C17">
        <w:rPr>
          <w:rFonts w:ascii="Times New Roman" w:hAnsi="Times New Roman" w:cs="Times New Roman"/>
          <w:sz w:val="24"/>
          <w:szCs w:val="24"/>
        </w:rPr>
        <w:t xml:space="preserve"> </w:t>
      </w:r>
      <w:r w:rsidRPr="00EC01F6">
        <w:rPr>
          <w:rFonts w:ascii="Times New Roman" w:hAnsi="Times New Roman" w:cs="Times New Roman"/>
          <w:sz w:val="24"/>
          <w:szCs w:val="24"/>
        </w:rPr>
        <w:t>vanuit woonstaatperspectief) worden niet opgelost.</w:t>
      </w:r>
    </w:p>
    <w:p w14:paraId="43F9709C" w14:textId="260C8F6D" w:rsidR="00193064" w:rsidRPr="00EC01F6" w:rsidRDefault="0019306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In het rapport wordt voor de </w:t>
      </w:r>
      <w:r w:rsidRPr="00EC01F6">
        <w:rPr>
          <w:rFonts w:ascii="Times New Roman" w:hAnsi="Times New Roman" w:cs="Times New Roman"/>
          <w:i/>
          <w:sz w:val="24"/>
          <w:szCs w:val="24"/>
        </w:rPr>
        <w:t>outbound</w:t>
      </w:r>
      <w:r w:rsidRPr="00EC01F6">
        <w:rPr>
          <w:rFonts w:ascii="Times New Roman" w:hAnsi="Times New Roman" w:cs="Times New Roman"/>
          <w:sz w:val="24"/>
          <w:szCs w:val="24"/>
        </w:rPr>
        <w:t>-situaties een tweetal oplossingen aangedragen, dat volgens Pötgens de knelpunten vanuit woonstaatperspectief zou kunnen verhelpen. In een situatie waarin de partners (een natuurlijke persoon en een BV) die inwoner zijn van Nederland deelnemen in een entiteit in de bronstaat waarbij de bronstaat de entiteit als niet-transparant aanmerkt en Nederland als transparant (</w:t>
      </w:r>
      <w:r w:rsidRPr="00EC01F6">
        <w:rPr>
          <w:rFonts w:ascii="Times New Roman" w:hAnsi="Times New Roman" w:cs="Times New Roman"/>
          <w:i/>
          <w:sz w:val="24"/>
          <w:szCs w:val="24"/>
        </w:rPr>
        <w:t>outbound-hybrid</w:t>
      </w:r>
      <w:r w:rsidRPr="00EC01F6">
        <w:rPr>
          <w:rFonts w:ascii="Times New Roman" w:hAnsi="Times New Roman" w:cs="Times New Roman"/>
          <w:sz w:val="24"/>
          <w:szCs w:val="24"/>
        </w:rPr>
        <w:t>), zou Nederland voor doeleinden van voorkoming van dubbele belasting de hybride entiteit als een fictieve vaste inrichting moeten aanmerken. Voor de omgekeerde situatie (</w:t>
      </w:r>
      <w:r w:rsidRPr="00EC01F6">
        <w:rPr>
          <w:rFonts w:ascii="Times New Roman" w:hAnsi="Times New Roman" w:cs="Times New Roman"/>
          <w:i/>
          <w:sz w:val="24"/>
          <w:szCs w:val="24"/>
        </w:rPr>
        <w:t xml:space="preserve">inbound-reverse hybrid; </w:t>
      </w:r>
      <w:r w:rsidRPr="00EC01F6">
        <w:rPr>
          <w:rFonts w:ascii="Times New Roman" w:hAnsi="Times New Roman" w:cs="Times New Roman"/>
          <w:sz w:val="24"/>
          <w:szCs w:val="24"/>
        </w:rPr>
        <w:t>transparant vanuit de bronstaat en niet-transparant vanuit Nederland als woonstaat</w:t>
      </w:r>
      <w:r w:rsidRPr="00EC01F6">
        <w:rPr>
          <w:rFonts w:ascii="Times New Roman" w:hAnsi="Times New Roman" w:cs="Times New Roman"/>
          <w:i/>
          <w:sz w:val="24"/>
          <w:szCs w:val="24"/>
        </w:rPr>
        <w:t>)</w:t>
      </w:r>
      <w:r w:rsidRPr="00EC01F6">
        <w:rPr>
          <w:rFonts w:ascii="Times New Roman" w:hAnsi="Times New Roman" w:cs="Times New Roman"/>
          <w:sz w:val="24"/>
          <w:szCs w:val="24"/>
        </w:rPr>
        <w:t>) zou Nederland als woonstaat voor de vrijstelling ter voorkoming van dubbele belasting de classificatie van de bronstaat moeten volgen. Hierbij merkt de spreker op dat hiermee gealludeerd wordt op de oplossing in par. 32.3 van het commentaar bij art. 23 OESO-modelverdrag, maar bij die paragraaf heeft Nederland een voorbehoud gemaakt.</w:t>
      </w:r>
      <w:r w:rsidRPr="00EC01F6">
        <w:rPr>
          <w:rStyle w:val="Voetnootmarkering"/>
          <w:rFonts w:ascii="Times New Roman" w:hAnsi="Times New Roman" w:cs="Times New Roman"/>
          <w:sz w:val="24"/>
          <w:szCs w:val="24"/>
        </w:rPr>
        <w:footnoteReference w:id="48"/>
      </w:r>
    </w:p>
    <w:p w14:paraId="5361E7F6" w14:textId="77777777" w:rsidR="00193064" w:rsidRPr="00EC01F6" w:rsidRDefault="00193064" w:rsidP="00EC01F6">
      <w:pPr>
        <w:ind w:left="360"/>
        <w:rPr>
          <w:rFonts w:ascii="Times New Roman" w:hAnsi="Times New Roman" w:cs="Times New Roman"/>
          <w:i/>
          <w:sz w:val="24"/>
          <w:szCs w:val="24"/>
        </w:rPr>
      </w:pPr>
      <w:r w:rsidRPr="00EC01F6">
        <w:rPr>
          <w:rFonts w:ascii="Times New Roman" w:hAnsi="Times New Roman" w:cs="Times New Roman"/>
          <w:i/>
          <w:sz w:val="24"/>
          <w:szCs w:val="24"/>
        </w:rPr>
        <w:t>5.6 EU</w:t>
      </w:r>
    </w:p>
    <w:p w14:paraId="6E0CB9A8" w14:textId="7EF137CE" w:rsidR="00EB1C17" w:rsidRDefault="0019306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Omwille van de tijd staat Pötgens korter stil bij de EU-rechtelijke aspecten. Wel merkt hij op dat hij het eens is met de auteurs van het rapport dat de EU-aanpak van </w:t>
      </w:r>
      <w:r w:rsidRPr="00EC01F6">
        <w:rPr>
          <w:rFonts w:ascii="Times New Roman" w:hAnsi="Times New Roman" w:cs="Times New Roman"/>
          <w:i/>
          <w:sz w:val="24"/>
          <w:szCs w:val="24"/>
        </w:rPr>
        <w:t>mismatches</w:t>
      </w:r>
      <w:r w:rsidRPr="00EC01F6">
        <w:rPr>
          <w:rFonts w:ascii="Times New Roman" w:hAnsi="Times New Roman" w:cs="Times New Roman"/>
          <w:sz w:val="24"/>
          <w:szCs w:val="24"/>
        </w:rPr>
        <w:t xml:space="preserve"> vooral gericht lijkt te zijn op dubbele niet-heffing en dubbele heffing het kind van de rekening is.</w:t>
      </w:r>
    </w:p>
    <w:p w14:paraId="06F6D1CD" w14:textId="77777777" w:rsidR="00EB1C17" w:rsidRDefault="00EB1C17">
      <w:pPr>
        <w:rPr>
          <w:rFonts w:ascii="Times New Roman" w:hAnsi="Times New Roman" w:cs="Times New Roman"/>
          <w:sz w:val="24"/>
          <w:szCs w:val="24"/>
        </w:rPr>
      </w:pPr>
      <w:r>
        <w:rPr>
          <w:rFonts w:ascii="Times New Roman" w:hAnsi="Times New Roman" w:cs="Times New Roman"/>
          <w:sz w:val="24"/>
          <w:szCs w:val="24"/>
        </w:rPr>
        <w:br w:type="page"/>
      </w:r>
    </w:p>
    <w:p w14:paraId="793B5472" w14:textId="77777777" w:rsidR="00193064" w:rsidRPr="00EC01F6" w:rsidRDefault="00193064" w:rsidP="00EC01F6">
      <w:pPr>
        <w:ind w:left="360"/>
        <w:rPr>
          <w:rFonts w:ascii="Times New Roman" w:hAnsi="Times New Roman" w:cs="Times New Roman"/>
          <w:i/>
          <w:sz w:val="24"/>
          <w:szCs w:val="24"/>
        </w:rPr>
      </w:pPr>
      <w:r w:rsidRPr="00EC01F6">
        <w:rPr>
          <w:rFonts w:ascii="Times New Roman" w:hAnsi="Times New Roman" w:cs="Times New Roman"/>
          <w:i/>
          <w:sz w:val="24"/>
          <w:szCs w:val="24"/>
        </w:rPr>
        <w:t>5.7 Symmetrical approach</w:t>
      </w:r>
    </w:p>
    <w:p w14:paraId="74238156" w14:textId="77777777" w:rsidR="00193064" w:rsidRPr="00EC01F6" w:rsidRDefault="00193064"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Alle regelingen in belastingverdragen en EU-richtlijn zijn fantoombestrijding van het </w:t>
      </w:r>
      <w:r w:rsidRPr="00EC01F6">
        <w:rPr>
          <w:rFonts w:ascii="Times New Roman" w:hAnsi="Times New Roman" w:cs="Times New Roman"/>
          <w:i/>
          <w:sz w:val="24"/>
          <w:szCs w:val="24"/>
        </w:rPr>
        <w:t>mismatch</w:t>
      </w:r>
      <w:r w:rsidRPr="00EC01F6">
        <w:rPr>
          <w:rFonts w:ascii="Times New Roman" w:hAnsi="Times New Roman" w:cs="Times New Roman"/>
          <w:sz w:val="24"/>
          <w:szCs w:val="24"/>
        </w:rPr>
        <w:t xml:space="preserve">-probleem en daarom is het goed dat de commissie met een fundamentele oplossing is gekomen. De </w:t>
      </w:r>
      <w:r w:rsidRPr="00EC01F6">
        <w:rPr>
          <w:rFonts w:ascii="Times New Roman" w:hAnsi="Times New Roman" w:cs="Times New Roman"/>
          <w:i/>
          <w:sz w:val="24"/>
          <w:szCs w:val="24"/>
        </w:rPr>
        <w:t xml:space="preserve">symmetrical approach </w:t>
      </w:r>
      <w:r w:rsidRPr="00EC01F6">
        <w:rPr>
          <w:rFonts w:ascii="Times New Roman" w:hAnsi="Times New Roman" w:cs="Times New Roman"/>
          <w:sz w:val="24"/>
          <w:szCs w:val="24"/>
        </w:rPr>
        <w:t xml:space="preserve">lost inderdaad alle problemen op. Maar, vraagt Pötgens zich af, zijn wij als Nederland niet “gekke Gerrit” als we dit systeem eenzijdige invoeren? De spreker zou liever zien dat het idee van Fibbe gevolgd wordt: leg de </w:t>
      </w:r>
      <w:r w:rsidRPr="00EC01F6">
        <w:rPr>
          <w:rFonts w:ascii="Times New Roman" w:hAnsi="Times New Roman" w:cs="Times New Roman"/>
          <w:i/>
          <w:sz w:val="24"/>
          <w:szCs w:val="24"/>
        </w:rPr>
        <w:t xml:space="preserve">symmetrical approach </w:t>
      </w:r>
      <w:r w:rsidRPr="00EC01F6">
        <w:rPr>
          <w:rFonts w:ascii="Times New Roman" w:hAnsi="Times New Roman" w:cs="Times New Roman"/>
          <w:sz w:val="24"/>
          <w:szCs w:val="24"/>
        </w:rPr>
        <w:t>EU-breed op door middel van een richtlijn. Dan is er een consistente oplossing binnen de EU, aldus Pötgens.</w:t>
      </w:r>
    </w:p>
    <w:p w14:paraId="18B82F24" w14:textId="77777777" w:rsidR="00EF62C3" w:rsidRPr="00EC01F6" w:rsidRDefault="00292B35"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6. </w:t>
      </w:r>
      <w:r w:rsidR="00EF62C3" w:rsidRPr="00EC01F6">
        <w:rPr>
          <w:rFonts w:ascii="Times New Roman" w:hAnsi="Times New Roman" w:cs="Times New Roman"/>
          <w:i/>
          <w:sz w:val="24"/>
          <w:szCs w:val="24"/>
        </w:rPr>
        <w:t>Repliek commissie</w:t>
      </w:r>
    </w:p>
    <w:p w14:paraId="6CF52AA7" w14:textId="77777777" w:rsidR="00EF62C3" w:rsidRPr="00EC01F6" w:rsidRDefault="00A02E56" w:rsidP="00EC01F6">
      <w:pPr>
        <w:ind w:left="360"/>
        <w:rPr>
          <w:rFonts w:ascii="Times New Roman" w:hAnsi="Times New Roman" w:cs="Times New Roman"/>
          <w:i/>
          <w:sz w:val="24"/>
          <w:szCs w:val="24"/>
        </w:rPr>
      </w:pPr>
      <w:r w:rsidRPr="00EC01F6">
        <w:rPr>
          <w:rFonts w:ascii="Times New Roman" w:hAnsi="Times New Roman" w:cs="Times New Roman"/>
          <w:i/>
          <w:sz w:val="24"/>
          <w:szCs w:val="24"/>
        </w:rPr>
        <w:t>6.1 Doornebal</w:t>
      </w:r>
    </w:p>
    <w:p w14:paraId="147239D0" w14:textId="77777777" w:rsidR="00691C05" w:rsidRPr="00EC01F6" w:rsidRDefault="003B56F1"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Doornebal </w:t>
      </w:r>
      <w:r w:rsidR="00691C05" w:rsidRPr="00EC01F6">
        <w:rPr>
          <w:rFonts w:ascii="Times New Roman" w:hAnsi="Times New Roman" w:cs="Times New Roman"/>
          <w:sz w:val="24"/>
          <w:szCs w:val="24"/>
        </w:rPr>
        <w:t xml:space="preserve">bedankt </w:t>
      </w:r>
      <w:r w:rsidRPr="00EC01F6">
        <w:rPr>
          <w:rFonts w:ascii="Times New Roman" w:hAnsi="Times New Roman" w:cs="Times New Roman"/>
          <w:sz w:val="24"/>
          <w:szCs w:val="24"/>
        </w:rPr>
        <w:t xml:space="preserve">alle sprekers voor hun waardering voor het rapport. </w:t>
      </w:r>
      <w:r w:rsidR="00691C05" w:rsidRPr="00EC01F6">
        <w:rPr>
          <w:rFonts w:ascii="Times New Roman" w:hAnsi="Times New Roman" w:cs="Times New Roman"/>
          <w:sz w:val="24"/>
          <w:szCs w:val="24"/>
        </w:rPr>
        <w:t>In reactie op Boer meent Doornebal dat het nieuwe systeem weldegelijk de moeite waard is. In de eerste plaats omdat het nieuwe systeem leidt tot mee</w:t>
      </w:r>
      <w:r w:rsidR="00292B35" w:rsidRPr="00EC01F6">
        <w:rPr>
          <w:rFonts w:ascii="Times New Roman" w:hAnsi="Times New Roman" w:cs="Times New Roman"/>
          <w:sz w:val="24"/>
          <w:szCs w:val="24"/>
        </w:rPr>
        <w:t>r</w:t>
      </w:r>
      <w:r w:rsidR="00691C05" w:rsidRPr="00EC01F6">
        <w:rPr>
          <w:rFonts w:ascii="Times New Roman" w:hAnsi="Times New Roman" w:cs="Times New Roman"/>
          <w:sz w:val="24"/>
          <w:szCs w:val="24"/>
        </w:rPr>
        <w:t xml:space="preserve"> rechtsvormneutraliteit en</w:t>
      </w:r>
      <w:r w:rsidR="00292B35" w:rsidRPr="00EC01F6">
        <w:rPr>
          <w:rFonts w:ascii="Times New Roman" w:hAnsi="Times New Roman" w:cs="Times New Roman"/>
          <w:sz w:val="24"/>
          <w:szCs w:val="24"/>
        </w:rPr>
        <w:t xml:space="preserve"> omdat </w:t>
      </w:r>
      <w:r w:rsidR="00691C05" w:rsidRPr="00EC01F6">
        <w:rPr>
          <w:rFonts w:ascii="Times New Roman" w:hAnsi="Times New Roman" w:cs="Times New Roman"/>
          <w:sz w:val="24"/>
          <w:szCs w:val="24"/>
        </w:rPr>
        <w:t>de eenvoud van het systeem toe</w:t>
      </w:r>
      <w:r w:rsidR="00292B35" w:rsidRPr="00EC01F6">
        <w:rPr>
          <w:rFonts w:ascii="Times New Roman" w:hAnsi="Times New Roman" w:cs="Times New Roman"/>
          <w:sz w:val="24"/>
          <w:szCs w:val="24"/>
        </w:rPr>
        <w:t>neemt</w:t>
      </w:r>
      <w:r w:rsidR="00691C05" w:rsidRPr="00EC01F6">
        <w:rPr>
          <w:rFonts w:ascii="Times New Roman" w:hAnsi="Times New Roman" w:cs="Times New Roman"/>
          <w:sz w:val="24"/>
          <w:szCs w:val="24"/>
        </w:rPr>
        <w:t xml:space="preserve">. </w:t>
      </w:r>
    </w:p>
    <w:p w14:paraId="7D209ED3" w14:textId="61D79C36" w:rsidR="003B56F1" w:rsidRPr="00EC01F6" w:rsidRDefault="00691C05"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De rechtsvormneutraliteit blijkt uit het grote aantal overeenkomsten tussen de belastingheffing van de personenvennootschap in het nieuwe systeem en de huidige belastingheffing van kapitaalvennootschappen. De spreker noemt in dat kader de winstfaciliteiten, het ontbreken van ondernem</w:t>
      </w:r>
      <w:r w:rsidR="00292B35" w:rsidRPr="00EC01F6">
        <w:rPr>
          <w:rFonts w:ascii="Times New Roman" w:hAnsi="Times New Roman" w:cs="Times New Roman"/>
          <w:sz w:val="24"/>
          <w:szCs w:val="24"/>
        </w:rPr>
        <w:t>e</w:t>
      </w:r>
      <w:r w:rsidRPr="00EC01F6">
        <w:rPr>
          <w:rFonts w:ascii="Times New Roman" w:hAnsi="Times New Roman" w:cs="Times New Roman"/>
          <w:sz w:val="24"/>
          <w:szCs w:val="24"/>
        </w:rPr>
        <w:t>rsfaciliteiten, één objectieve onderneming en de nagenoeg gelijke tarieven voor uitgekeerde en niet-uitgekeerde winst. De verschillen die resteren zijn de transparantie,</w:t>
      </w:r>
      <w:r w:rsidR="00757383" w:rsidRPr="00EC01F6">
        <w:rPr>
          <w:rFonts w:ascii="Times New Roman" w:hAnsi="Times New Roman" w:cs="Times New Roman"/>
          <w:sz w:val="24"/>
          <w:szCs w:val="24"/>
        </w:rPr>
        <w:t xml:space="preserve"> het buitenvennootschappelijke ondernemingsvermogen, </w:t>
      </w:r>
      <w:r w:rsidRPr="00EC01F6">
        <w:rPr>
          <w:rFonts w:ascii="Times New Roman" w:hAnsi="Times New Roman" w:cs="Times New Roman"/>
          <w:sz w:val="24"/>
          <w:szCs w:val="24"/>
        </w:rPr>
        <w:t>de belastingplichtige</w:t>
      </w:r>
      <w:r w:rsidR="00757383" w:rsidRPr="00EC01F6">
        <w:rPr>
          <w:rFonts w:ascii="Times New Roman" w:hAnsi="Times New Roman" w:cs="Times New Roman"/>
          <w:sz w:val="24"/>
          <w:szCs w:val="24"/>
        </w:rPr>
        <w:t xml:space="preserve"> en de verliesverrekening. Per saldo is er volgens de commissie een toename van rechtsvormneutraliteit.</w:t>
      </w:r>
    </w:p>
    <w:p w14:paraId="677A02AE" w14:textId="3DC27588" w:rsidR="00757383" w:rsidRPr="00EC01F6" w:rsidRDefault="00757383"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Voor wat betreft de eenvoud merkt Doornebal op dat de ondernem</w:t>
      </w:r>
      <w:r w:rsidR="006A02C2" w:rsidRPr="00EC01F6">
        <w:rPr>
          <w:rFonts w:ascii="Times New Roman" w:hAnsi="Times New Roman" w:cs="Times New Roman"/>
          <w:sz w:val="24"/>
          <w:szCs w:val="24"/>
        </w:rPr>
        <w:t>e</w:t>
      </w:r>
      <w:r w:rsidRPr="00EC01F6">
        <w:rPr>
          <w:rFonts w:ascii="Times New Roman" w:hAnsi="Times New Roman" w:cs="Times New Roman"/>
          <w:sz w:val="24"/>
          <w:szCs w:val="24"/>
        </w:rPr>
        <w:t>rsfaciliteiten en het ondernemersbegrip vervallen, dat de winstfaciliteiten worden toegepast op vennootschapsniveau</w:t>
      </w:r>
      <w:r w:rsidR="00292B35" w:rsidRPr="00EC01F6">
        <w:rPr>
          <w:rFonts w:ascii="Times New Roman" w:hAnsi="Times New Roman" w:cs="Times New Roman"/>
          <w:sz w:val="24"/>
          <w:szCs w:val="24"/>
        </w:rPr>
        <w:t xml:space="preserve"> en</w:t>
      </w:r>
      <w:r w:rsidRPr="00EC01F6">
        <w:rPr>
          <w:rFonts w:ascii="Times New Roman" w:hAnsi="Times New Roman" w:cs="Times New Roman"/>
          <w:sz w:val="24"/>
          <w:szCs w:val="24"/>
        </w:rPr>
        <w:t xml:space="preserve"> dat de overgang tussen eenmanszaak, personen- en besloten vennootschap eenvoudiger wordt. Verder zullen wijzigingen in </w:t>
      </w:r>
      <w:r w:rsidR="002773F1" w:rsidRPr="00EC01F6">
        <w:rPr>
          <w:rFonts w:ascii="Times New Roman" w:hAnsi="Times New Roman" w:cs="Times New Roman"/>
          <w:sz w:val="24"/>
          <w:szCs w:val="24"/>
        </w:rPr>
        <w:t xml:space="preserve">het </w:t>
      </w:r>
      <w:r w:rsidRPr="00EC01F6">
        <w:rPr>
          <w:rFonts w:ascii="Times New Roman" w:hAnsi="Times New Roman" w:cs="Times New Roman"/>
          <w:sz w:val="24"/>
          <w:szCs w:val="24"/>
        </w:rPr>
        <w:t>vennotenbestand in beginsel niet leid</w:t>
      </w:r>
      <w:r w:rsidR="00292B35" w:rsidRPr="00EC01F6">
        <w:rPr>
          <w:rFonts w:ascii="Times New Roman" w:hAnsi="Times New Roman" w:cs="Times New Roman"/>
          <w:sz w:val="24"/>
          <w:szCs w:val="24"/>
        </w:rPr>
        <w:t>en</w:t>
      </w:r>
      <w:r w:rsidRPr="00EC01F6">
        <w:rPr>
          <w:rFonts w:ascii="Times New Roman" w:hAnsi="Times New Roman" w:cs="Times New Roman"/>
          <w:sz w:val="24"/>
          <w:szCs w:val="24"/>
        </w:rPr>
        <w:t xml:space="preserve"> tot heffing omdat toe- en afname van het vermogen van de objectieve onderneming centraal staat bij de winstbepaling. Ten slotte merkt de spreker op dat de zzp-problematiek grotendeel</w:t>
      </w:r>
      <w:r w:rsidR="00292B35" w:rsidRPr="00EC01F6">
        <w:rPr>
          <w:rFonts w:ascii="Times New Roman" w:hAnsi="Times New Roman" w:cs="Times New Roman"/>
          <w:sz w:val="24"/>
          <w:szCs w:val="24"/>
        </w:rPr>
        <w:t>s</w:t>
      </w:r>
      <w:r w:rsidRPr="00EC01F6">
        <w:rPr>
          <w:rFonts w:ascii="Times New Roman" w:hAnsi="Times New Roman" w:cs="Times New Roman"/>
          <w:sz w:val="24"/>
          <w:szCs w:val="24"/>
        </w:rPr>
        <w:t xml:space="preserve"> verdwijnt</w:t>
      </w:r>
      <w:r w:rsidR="009819A7">
        <w:rPr>
          <w:rFonts w:ascii="Times New Roman" w:hAnsi="Times New Roman" w:cs="Times New Roman"/>
          <w:sz w:val="24"/>
          <w:szCs w:val="24"/>
        </w:rPr>
        <w:t>,</w:t>
      </w:r>
      <w:r w:rsidRPr="00EC01F6">
        <w:rPr>
          <w:rFonts w:ascii="Times New Roman" w:hAnsi="Times New Roman" w:cs="Times New Roman"/>
          <w:sz w:val="24"/>
          <w:szCs w:val="24"/>
        </w:rPr>
        <w:t xml:space="preserve"> omdat het verschil in belastingdruk tussen ondernemers en niet-ondernemers wordt verkleind. Doornebal geeft toe dat de verliesverrekening er niet makkelijker op wordt</w:t>
      </w:r>
      <w:r w:rsidR="009819A7">
        <w:rPr>
          <w:rFonts w:ascii="Times New Roman" w:hAnsi="Times New Roman" w:cs="Times New Roman"/>
          <w:sz w:val="24"/>
          <w:szCs w:val="24"/>
        </w:rPr>
        <w:t>,</w:t>
      </w:r>
      <w:r w:rsidRPr="00EC01F6">
        <w:rPr>
          <w:rFonts w:ascii="Times New Roman" w:hAnsi="Times New Roman" w:cs="Times New Roman"/>
          <w:sz w:val="24"/>
          <w:szCs w:val="24"/>
        </w:rPr>
        <w:t xml:space="preserve"> omdat er gecorrigeerd moet worden voor het tariefverschil tussen winst en niet-winst inkomen.</w:t>
      </w:r>
      <w:r w:rsidR="008615B5" w:rsidRPr="00EC01F6">
        <w:rPr>
          <w:rFonts w:ascii="Times New Roman" w:hAnsi="Times New Roman" w:cs="Times New Roman"/>
          <w:sz w:val="24"/>
          <w:szCs w:val="24"/>
        </w:rPr>
        <w:t xml:space="preserve"> Daarnaast is er inderdaad een regeling nodig </w:t>
      </w:r>
      <w:r w:rsidR="00EC6EC8" w:rsidRPr="00EC01F6">
        <w:rPr>
          <w:rFonts w:ascii="Times New Roman" w:hAnsi="Times New Roman" w:cs="Times New Roman"/>
          <w:sz w:val="24"/>
          <w:szCs w:val="24"/>
        </w:rPr>
        <w:t xml:space="preserve">voor personenvennootschappen die vergelijkbaar is met de </w:t>
      </w:r>
      <w:r w:rsidR="008615B5" w:rsidRPr="00EC01F6">
        <w:rPr>
          <w:rFonts w:ascii="Times New Roman" w:hAnsi="Times New Roman" w:cs="Times New Roman"/>
          <w:sz w:val="24"/>
          <w:szCs w:val="24"/>
        </w:rPr>
        <w:t>deelnemingsvrijstelling</w:t>
      </w:r>
      <w:r w:rsidR="00EC6EC8" w:rsidRPr="00EC01F6">
        <w:rPr>
          <w:rFonts w:ascii="Times New Roman" w:hAnsi="Times New Roman" w:cs="Times New Roman"/>
          <w:sz w:val="24"/>
          <w:szCs w:val="24"/>
        </w:rPr>
        <w:t xml:space="preserve">. Maar ook hier </w:t>
      </w:r>
      <w:r w:rsidR="0025681B" w:rsidRPr="00EC01F6">
        <w:rPr>
          <w:rFonts w:ascii="Times New Roman" w:hAnsi="Times New Roman" w:cs="Times New Roman"/>
          <w:sz w:val="24"/>
          <w:szCs w:val="24"/>
        </w:rPr>
        <w:t xml:space="preserve">ziet </w:t>
      </w:r>
      <w:r w:rsidR="00EC6EC8" w:rsidRPr="00EC01F6">
        <w:rPr>
          <w:rFonts w:ascii="Times New Roman" w:hAnsi="Times New Roman" w:cs="Times New Roman"/>
          <w:sz w:val="24"/>
          <w:szCs w:val="24"/>
        </w:rPr>
        <w:t>de spreker per saldo winst voor de eenvoud.</w:t>
      </w:r>
    </w:p>
    <w:p w14:paraId="4EC5BB21" w14:textId="7373B1F9" w:rsidR="00DB7780" w:rsidRPr="00EC01F6" w:rsidRDefault="00DB7780"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Met betrekking tot de vragen over de toepassing van het nieuwe systeem op resultaat uit overige werkzaamheden merkt </w:t>
      </w:r>
      <w:r w:rsidR="002773F1" w:rsidRPr="00EC01F6">
        <w:rPr>
          <w:rFonts w:ascii="Times New Roman" w:hAnsi="Times New Roman" w:cs="Times New Roman"/>
          <w:sz w:val="24"/>
          <w:szCs w:val="24"/>
        </w:rPr>
        <w:t xml:space="preserve">de </w:t>
      </w:r>
      <w:r w:rsidRPr="00EC01F6">
        <w:rPr>
          <w:rFonts w:ascii="Times New Roman" w:hAnsi="Times New Roman" w:cs="Times New Roman"/>
          <w:sz w:val="24"/>
          <w:szCs w:val="24"/>
        </w:rPr>
        <w:t>spreker op dat dit niet is opgenomen in het rapport, maar dat de commissie de voorgestelde regeling inderdaad in die richt</w:t>
      </w:r>
      <w:r w:rsidR="00292B35" w:rsidRPr="00EC01F6">
        <w:rPr>
          <w:rFonts w:ascii="Times New Roman" w:hAnsi="Times New Roman" w:cs="Times New Roman"/>
          <w:sz w:val="24"/>
          <w:szCs w:val="24"/>
        </w:rPr>
        <w:t>ing</w:t>
      </w:r>
      <w:r w:rsidRPr="00EC01F6">
        <w:rPr>
          <w:rFonts w:ascii="Times New Roman" w:hAnsi="Times New Roman" w:cs="Times New Roman"/>
          <w:sz w:val="24"/>
          <w:szCs w:val="24"/>
        </w:rPr>
        <w:t xml:space="preserve"> zou willen doortrekken. Uitstel van winstneming ligt bij doortrekken van de regeling naar resultaat uit overige werkzaamheden op de loer, maar daar merkt de spreker bij op dat een lager tarief gerechtvaardigd is voor resultaat dat nog niet is geconsumeerd door de belastingplichtige.</w:t>
      </w:r>
      <w:r w:rsidR="008F3C9B" w:rsidRPr="00EC01F6">
        <w:rPr>
          <w:rFonts w:ascii="Times New Roman" w:hAnsi="Times New Roman" w:cs="Times New Roman"/>
          <w:sz w:val="24"/>
          <w:szCs w:val="24"/>
        </w:rPr>
        <w:t xml:space="preserve"> Bovendien gaat er volgen</w:t>
      </w:r>
      <w:r w:rsidR="00292B35" w:rsidRPr="00EC01F6">
        <w:rPr>
          <w:rFonts w:ascii="Times New Roman" w:hAnsi="Times New Roman" w:cs="Times New Roman"/>
          <w:sz w:val="24"/>
          <w:szCs w:val="24"/>
        </w:rPr>
        <w:t>s de</w:t>
      </w:r>
      <w:r w:rsidR="008F3C9B" w:rsidRPr="00EC01F6">
        <w:rPr>
          <w:rFonts w:ascii="Times New Roman" w:hAnsi="Times New Roman" w:cs="Times New Roman"/>
          <w:sz w:val="24"/>
          <w:szCs w:val="24"/>
        </w:rPr>
        <w:t xml:space="preserve"> spreker een disciplinerende werking uit van de jurisprudentie over </w:t>
      </w:r>
      <w:r w:rsidR="00B27AD5" w:rsidRPr="00EC01F6">
        <w:rPr>
          <w:rFonts w:ascii="Times New Roman" w:hAnsi="Times New Roman" w:cs="Times New Roman"/>
          <w:sz w:val="24"/>
          <w:szCs w:val="24"/>
        </w:rPr>
        <w:t>vermogensetikettering</w:t>
      </w:r>
      <w:r w:rsidR="008F3C9B" w:rsidRPr="00EC01F6">
        <w:rPr>
          <w:rFonts w:ascii="Times New Roman" w:hAnsi="Times New Roman" w:cs="Times New Roman"/>
          <w:sz w:val="24"/>
          <w:szCs w:val="24"/>
        </w:rPr>
        <w:t>: structureel overtollige middel</w:t>
      </w:r>
      <w:r w:rsidR="002773F1" w:rsidRPr="00EC01F6">
        <w:rPr>
          <w:rFonts w:ascii="Times New Roman" w:hAnsi="Times New Roman" w:cs="Times New Roman"/>
          <w:sz w:val="24"/>
          <w:szCs w:val="24"/>
        </w:rPr>
        <w:t>en</w:t>
      </w:r>
      <w:r w:rsidR="008F3C9B" w:rsidRPr="00EC01F6">
        <w:rPr>
          <w:rFonts w:ascii="Times New Roman" w:hAnsi="Times New Roman" w:cs="Times New Roman"/>
          <w:sz w:val="24"/>
          <w:szCs w:val="24"/>
        </w:rPr>
        <w:t xml:space="preserve"> mogen niet tot het ondernemingsvermogen blijven behoren.</w:t>
      </w:r>
    </w:p>
    <w:p w14:paraId="12A8CCBD" w14:textId="6823B99F" w:rsidR="00F34D5B" w:rsidRPr="00EC01F6" w:rsidRDefault="00F34D5B"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Ten</w:t>
      </w:r>
      <w:r w:rsidR="0025681B" w:rsidRPr="00EC01F6">
        <w:rPr>
          <w:rFonts w:ascii="Times New Roman" w:hAnsi="Times New Roman" w:cs="Times New Roman"/>
          <w:sz w:val="24"/>
          <w:szCs w:val="24"/>
        </w:rPr>
        <w:t xml:space="preserve"> </w:t>
      </w:r>
      <w:r w:rsidRPr="00EC01F6">
        <w:rPr>
          <w:rFonts w:ascii="Times New Roman" w:hAnsi="Times New Roman" w:cs="Times New Roman"/>
          <w:sz w:val="24"/>
          <w:szCs w:val="24"/>
        </w:rPr>
        <w:t>slotte merkt Doornebal op dat inbreng alleen l</w:t>
      </w:r>
      <w:r w:rsidR="002773F1" w:rsidRPr="00EC01F6">
        <w:rPr>
          <w:rFonts w:ascii="Times New Roman" w:hAnsi="Times New Roman" w:cs="Times New Roman"/>
          <w:sz w:val="24"/>
          <w:szCs w:val="24"/>
        </w:rPr>
        <w:t>ei</w:t>
      </w:r>
      <w:r w:rsidRPr="00EC01F6">
        <w:rPr>
          <w:rFonts w:ascii="Times New Roman" w:hAnsi="Times New Roman" w:cs="Times New Roman"/>
          <w:sz w:val="24"/>
          <w:szCs w:val="24"/>
        </w:rPr>
        <w:t>dt tot afrekening als de inbr</w:t>
      </w:r>
      <w:r w:rsidR="006A02C2" w:rsidRPr="00EC01F6">
        <w:rPr>
          <w:rFonts w:ascii="Times New Roman" w:hAnsi="Times New Roman" w:cs="Times New Roman"/>
          <w:sz w:val="24"/>
          <w:szCs w:val="24"/>
        </w:rPr>
        <w:t>eng geschiedt tegen de waarde in het economische verkeer. De commissie heeft niet gekozen voor een doorschuiffaciliteit</w:t>
      </w:r>
      <w:r w:rsidR="009819A7">
        <w:rPr>
          <w:rFonts w:ascii="Times New Roman" w:hAnsi="Times New Roman" w:cs="Times New Roman"/>
          <w:sz w:val="24"/>
          <w:szCs w:val="24"/>
        </w:rPr>
        <w:t>,</w:t>
      </w:r>
      <w:r w:rsidR="006A02C2" w:rsidRPr="00EC01F6">
        <w:rPr>
          <w:rFonts w:ascii="Times New Roman" w:hAnsi="Times New Roman" w:cs="Times New Roman"/>
          <w:sz w:val="24"/>
          <w:szCs w:val="24"/>
        </w:rPr>
        <w:t xml:space="preserve"> omdat daardoor</w:t>
      </w:r>
      <w:r w:rsidR="00292B35" w:rsidRPr="00EC01F6">
        <w:rPr>
          <w:rFonts w:ascii="Times New Roman" w:hAnsi="Times New Roman" w:cs="Times New Roman"/>
          <w:sz w:val="24"/>
          <w:szCs w:val="24"/>
        </w:rPr>
        <w:t xml:space="preserve"> de</w:t>
      </w:r>
      <w:r w:rsidR="006A02C2" w:rsidRPr="00EC01F6">
        <w:rPr>
          <w:rFonts w:ascii="Times New Roman" w:hAnsi="Times New Roman" w:cs="Times New Roman"/>
          <w:sz w:val="24"/>
          <w:szCs w:val="24"/>
        </w:rPr>
        <w:t xml:space="preserve"> vennootschappelijk</w:t>
      </w:r>
      <w:r w:rsidR="002773F1" w:rsidRPr="00EC01F6">
        <w:rPr>
          <w:rFonts w:ascii="Times New Roman" w:hAnsi="Times New Roman" w:cs="Times New Roman"/>
          <w:sz w:val="24"/>
          <w:szCs w:val="24"/>
        </w:rPr>
        <w:t>e</w:t>
      </w:r>
      <w:r w:rsidR="006A02C2" w:rsidRPr="00EC01F6">
        <w:rPr>
          <w:rFonts w:ascii="Times New Roman" w:hAnsi="Times New Roman" w:cs="Times New Roman"/>
          <w:sz w:val="24"/>
          <w:szCs w:val="24"/>
        </w:rPr>
        <w:t xml:space="preserve"> en fiscale balans gelijk blijven.</w:t>
      </w:r>
    </w:p>
    <w:p w14:paraId="70C329C7" w14:textId="77777777" w:rsidR="006A02C2" w:rsidRPr="00EC01F6" w:rsidRDefault="00292B35"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6.2 </w:t>
      </w:r>
      <w:r w:rsidR="006A02C2" w:rsidRPr="00EC01F6">
        <w:rPr>
          <w:rFonts w:ascii="Times New Roman" w:hAnsi="Times New Roman" w:cs="Times New Roman"/>
          <w:i/>
          <w:sz w:val="24"/>
          <w:szCs w:val="24"/>
        </w:rPr>
        <w:t>Van Kempen</w:t>
      </w:r>
    </w:p>
    <w:p w14:paraId="0A269D33" w14:textId="11186202" w:rsidR="006A02C2" w:rsidRPr="00EC01F6" w:rsidRDefault="006A02C2"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Van Kempen begint haar verhaal met de opmerking dat zij en Doornebal eigenlijk veel eerder tot samenwerking hadden moeten komen en is blij met het resultaat van de samenwerking.</w:t>
      </w:r>
    </w:p>
    <w:p w14:paraId="06696235" w14:textId="3D94F316" w:rsidR="006A02C2" w:rsidRPr="00EC01F6" w:rsidRDefault="006A02C2"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De vraag van Boer of het ondernemersbegrip </w:t>
      </w:r>
      <w:r w:rsidR="002773F1" w:rsidRPr="00EC01F6">
        <w:rPr>
          <w:rFonts w:ascii="Times New Roman" w:hAnsi="Times New Roman" w:cs="Times New Roman"/>
          <w:sz w:val="24"/>
          <w:szCs w:val="24"/>
        </w:rPr>
        <w:t xml:space="preserve">van art. 3.4 Wet IB 2001 </w:t>
      </w:r>
      <w:r w:rsidRPr="00EC01F6">
        <w:rPr>
          <w:rFonts w:ascii="Times New Roman" w:hAnsi="Times New Roman" w:cs="Times New Roman"/>
          <w:sz w:val="24"/>
          <w:szCs w:val="24"/>
        </w:rPr>
        <w:t>wel kan vervallen</w:t>
      </w:r>
      <w:r w:rsidR="00C044A9" w:rsidRPr="00EC01F6">
        <w:rPr>
          <w:rFonts w:ascii="Times New Roman" w:hAnsi="Times New Roman" w:cs="Times New Roman"/>
          <w:sz w:val="24"/>
          <w:szCs w:val="24"/>
        </w:rPr>
        <w:t>,</w:t>
      </w:r>
      <w:r w:rsidRPr="00EC01F6">
        <w:rPr>
          <w:rFonts w:ascii="Times New Roman" w:hAnsi="Times New Roman" w:cs="Times New Roman"/>
          <w:sz w:val="24"/>
          <w:szCs w:val="24"/>
        </w:rPr>
        <w:t xml:space="preserve"> beantwoord Van Kempen bevestigend. Afbakening ten opzichte van de loonsfeer en bijvoorbeeld box 3 geschiedt volgens haar niet aan de hand van het ondernemersbegrip, maar het ondernemingsbegrip van art. 3.2 Wet IB 2001. Als </w:t>
      </w:r>
      <w:r w:rsidR="009922B8" w:rsidRPr="00EC01F6">
        <w:rPr>
          <w:rFonts w:ascii="Times New Roman" w:hAnsi="Times New Roman" w:cs="Times New Roman"/>
          <w:sz w:val="24"/>
          <w:szCs w:val="24"/>
        </w:rPr>
        <w:t>h</w:t>
      </w:r>
      <w:r w:rsidRPr="00EC01F6">
        <w:rPr>
          <w:rFonts w:ascii="Times New Roman" w:hAnsi="Times New Roman" w:cs="Times New Roman"/>
          <w:sz w:val="24"/>
          <w:szCs w:val="24"/>
        </w:rPr>
        <w:t>e</w:t>
      </w:r>
      <w:r w:rsidR="009922B8" w:rsidRPr="00EC01F6">
        <w:rPr>
          <w:rFonts w:ascii="Times New Roman" w:hAnsi="Times New Roman" w:cs="Times New Roman"/>
          <w:sz w:val="24"/>
          <w:szCs w:val="24"/>
        </w:rPr>
        <w:t>t</w:t>
      </w:r>
      <w:r w:rsidRPr="00EC01F6">
        <w:rPr>
          <w:rFonts w:ascii="Times New Roman" w:hAnsi="Times New Roman" w:cs="Times New Roman"/>
          <w:sz w:val="24"/>
          <w:szCs w:val="24"/>
        </w:rPr>
        <w:t xml:space="preserve"> ondernemingspoortje van art. 3.2 Wet IB 2001 is gepasseerd</w:t>
      </w:r>
      <w:r w:rsidR="009922B8" w:rsidRPr="00EC01F6">
        <w:rPr>
          <w:rFonts w:ascii="Times New Roman" w:hAnsi="Times New Roman" w:cs="Times New Roman"/>
          <w:sz w:val="24"/>
          <w:szCs w:val="24"/>
        </w:rPr>
        <w:t>,</w:t>
      </w:r>
      <w:r w:rsidRPr="00EC01F6">
        <w:rPr>
          <w:rFonts w:ascii="Times New Roman" w:hAnsi="Times New Roman" w:cs="Times New Roman"/>
          <w:sz w:val="24"/>
          <w:szCs w:val="24"/>
        </w:rPr>
        <w:t xml:space="preserve"> is afbakening van het ondernemersbegrip niet meer nodig in het nieuwe systeem</w:t>
      </w:r>
      <w:r w:rsidR="009819A7">
        <w:rPr>
          <w:rFonts w:ascii="Times New Roman" w:hAnsi="Times New Roman" w:cs="Times New Roman"/>
          <w:sz w:val="24"/>
          <w:szCs w:val="24"/>
        </w:rPr>
        <w:t>,</w:t>
      </w:r>
      <w:r w:rsidRPr="00EC01F6">
        <w:rPr>
          <w:rFonts w:ascii="Times New Roman" w:hAnsi="Times New Roman" w:cs="Times New Roman"/>
          <w:sz w:val="24"/>
          <w:szCs w:val="24"/>
        </w:rPr>
        <w:t xml:space="preserve"> omdat er geen ondernemingsfaciliteiten meer zijn. </w:t>
      </w:r>
    </w:p>
    <w:p w14:paraId="13E932F8" w14:textId="77777777" w:rsidR="006A02C2" w:rsidRPr="00EC01F6" w:rsidRDefault="00137052"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De spreker is het met Boer eens dat art. 3.5 Wet IB 2001 sowieso kan komen te vervallen en dat is dus geen voordeel van het gepresenteerde systeem. Art. 3.5 moet </w:t>
      </w:r>
      <w:r w:rsidR="00467B61" w:rsidRPr="00EC01F6">
        <w:rPr>
          <w:rFonts w:ascii="Times New Roman" w:hAnsi="Times New Roman" w:cs="Times New Roman"/>
          <w:sz w:val="24"/>
          <w:szCs w:val="24"/>
        </w:rPr>
        <w:t>naar haar mening</w:t>
      </w:r>
      <w:r w:rsidR="006B262D" w:rsidRPr="00EC01F6">
        <w:rPr>
          <w:rFonts w:ascii="Times New Roman" w:hAnsi="Times New Roman" w:cs="Times New Roman"/>
          <w:sz w:val="24"/>
          <w:szCs w:val="24"/>
        </w:rPr>
        <w:t xml:space="preserve"> per direct geschrapt worden uit de Wet IB 2001.</w:t>
      </w:r>
    </w:p>
    <w:p w14:paraId="745511E8" w14:textId="0B0AEDB3" w:rsidR="00137052" w:rsidRPr="00EC01F6" w:rsidRDefault="00137052"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Voor wat betreft de vragen o</w:t>
      </w:r>
      <w:r w:rsidR="00255542" w:rsidRPr="00EC01F6">
        <w:rPr>
          <w:rFonts w:ascii="Times New Roman" w:hAnsi="Times New Roman" w:cs="Times New Roman"/>
          <w:sz w:val="24"/>
          <w:szCs w:val="24"/>
        </w:rPr>
        <w:t>ver</w:t>
      </w:r>
      <w:r w:rsidRPr="00EC01F6">
        <w:rPr>
          <w:rFonts w:ascii="Times New Roman" w:hAnsi="Times New Roman" w:cs="Times New Roman"/>
          <w:sz w:val="24"/>
          <w:szCs w:val="24"/>
        </w:rPr>
        <w:t xml:space="preserve"> de mogelijkheid tot winstuitstel sluit Van Kempen zich aan bij het antwoord van Doo</w:t>
      </w:r>
      <w:r w:rsidR="00467B61" w:rsidRPr="00EC01F6">
        <w:rPr>
          <w:rFonts w:ascii="Times New Roman" w:hAnsi="Times New Roman" w:cs="Times New Roman"/>
          <w:sz w:val="24"/>
          <w:szCs w:val="24"/>
        </w:rPr>
        <w:t>r</w:t>
      </w:r>
      <w:r w:rsidRPr="00EC01F6">
        <w:rPr>
          <w:rFonts w:ascii="Times New Roman" w:hAnsi="Times New Roman" w:cs="Times New Roman"/>
          <w:sz w:val="24"/>
          <w:szCs w:val="24"/>
        </w:rPr>
        <w:t>nebal</w:t>
      </w:r>
      <w:r w:rsidR="006B262D" w:rsidRPr="00EC01F6">
        <w:rPr>
          <w:rFonts w:ascii="Times New Roman" w:hAnsi="Times New Roman" w:cs="Times New Roman"/>
          <w:sz w:val="24"/>
          <w:szCs w:val="24"/>
        </w:rPr>
        <w:t xml:space="preserve">. Zij voegt </w:t>
      </w:r>
      <w:r w:rsidR="00B51F26" w:rsidRPr="00EC01F6">
        <w:rPr>
          <w:rFonts w:ascii="Times New Roman" w:hAnsi="Times New Roman" w:cs="Times New Roman"/>
          <w:sz w:val="24"/>
          <w:szCs w:val="24"/>
        </w:rPr>
        <w:t>daaraan</w:t>
      </w:r>
      <w:r w:rsidR="00C044A9" w:rsidRPr="00EC01F6">
        <w:rPr>
          <w:rFonts w:ascii="Times New Roman" w:hAnsi="Times New Roman" w:cs="Times New Roman"/>
          <w:sz w:val="24"/>
          <w:szCs w:val="24"/>
        </w:rPr>
        <w:t xml:space="preserve"> </w:t>
      </w:r>
      <w:r w:rsidR="00B51F26" w:rsidRPr="00EC01F6">
        <w:rPr>
          <w:rFonts w:ascii="Times New Roman" w:hAnsi="Times New Roman" w:cs="Times New Roman"/>
          <w:sz w:val="24"/>
          <w:szCs w:val="24"/>
        </w:rPr>
        <w:t>toe</w:t>
      </w:r>
      <w:r w:rsidR="006B262D" w:rsidRPr="00EC01F6">
        <w:rPr>
          <w:rFonts w:ascii="Times New Roman" w:hAnsi="Times New Roman" w:cs="Times New Roman"/>
          <w:sz w:val="24"/>
          <w:szCs w:val="24"/>
        </w:rPr>
        <w:t xml:space="preserve"> dat</w:t>
      </w:r>
      <w:r w:rsidR="00467B61" w:rsidRPr="00EC01F6">
        <w:rPr>
          <w:rFonts w:ascii="Times New Roman" w:hAnsi="Times New Roman" w:cs="Times New Roman"/>
          <w:sz w:val="24"/>
          <w:szCs w:val="24"/>
        </w:rPr>
        <w:t xml:space="preserve"> we niet bang moeten zijn voor </w:t>
      </w:r>
      <w:r w:rsidR="00C044A9" w:rsidRPr="00EC01F6">
        <w:rPr>
          <w:rFonts w:ascii="Times New Roman" w:hAnsi="Times New Roman" w:cs="Times New Roman"/>
          <w:sz w:val="24"/>
          <w:szCs w:val="24"/>
        </w:rPr>
        <w:t>vergelijkbare</w:t>
      </w:r>
      <w:r w:rsidR="00467B61" w:rsidRPr="00EC01F6">
        <w:rPr>
          <w:rFonts w:ascii="Times New Roman" w:hAnsi="Times New Roman" w:cs="Times New Roman"/>
          <w:sz w:val="24"/>
          <w:szCs w:val="24"/>
        </w:rPr>
        <w:t xml:space="preserve"> winstuitstelproblemen </w:t>
      </w:r>
      <w:r w:rsidR="00C044A9" w:rsidRPr="00EC01F6">
        <w:rPr>
          <w:rFonts w:ascii="Times New Roman" w:hAnsi="Times New Roman" w:cs="Times New Roman"/>
          <w:sz w:val="24"/>
          <w:szCs w:val="24"/>
        </w:rPr>
        <w:t xml:space="preserve">als </w:t>
      </w:r>
      <w:r w:rsidR="00467B61" w:rsidRPr="00EC01F6">
        <w:rPr>
          <w:rFonts w:ascii="Times New Roman" w:hAnsi="Times New Roman" w:cs="Times New Roman"/>
          <w:sz w:val="24"/>
          <w:szCs w:val="24"/>
        </w:rPr>
        <w:t>die zich voordoen bij box 2. De vermogensetikettering</w:t>
      </w:r>
      <w:r w:rsidR="00DE22B7" w:rsidRPr="00EC01F6">
        <w:rPr>
          <w:rFonts w:ascii="Times New Roman" w:hAnsi="Times New Roman" w:cs="Times New Roman"/>
          <w:sz w:val="24"/>
          <w:szCs w:val="24"/>
        </w:rPr>
        <w:t>s</w:t>
      </w:r>
      <w:r w:rsidR="00467B61" w:rsidRPr="00EC01F6">
        <w:rPr>
          <w:rFonts w:ascii="Times New Roman" w:hAnsi="Times New Roman" w:cs="Times New Roman"/>
          <w:sz w:val="24"/>
          <w:szCs w:val="24"/>
        </w:rPr>
        <w:t xml:space="preserve">regels staan niet toe dat er te veel reserve wordt aangehouden. Het nieuwe systeem staat </w:t>
      </w:r>
      <w:r w:rsidR="00DE22B7" w:rsidRPr="00EC01F6">
        <w:rPr>
          <w:rFonts w:ascii="Times New Roman" w:hAnsi="Times New Roman" w:cs="Times New Roman"/>
          <w:sz w:val="24"/>
          <w:szCs w:val="24"/>
        </w:rPr>
        <w:t xml:space="preserve">dus </w:t>
      </w:r>
      <w:r w:rsidR="00467B61" w:rsidRPr="00EC01F6">
        <w:rPr>
          <w:rFonts w:ascii="Times New Roman" w:hAnsi="Times New Roman" w:cs="Times New Roman"/>
          <w:sz w:val="24"/>
          <w:szCs w:val="24"/>
        </w:rPr>
        <w:t>niet toe dat een ondernemer geld leent van de personenvennootschap om daar vervolgens mee te beleggen in box 3 of om daar een eigen woning mee te kopen.</w:t>
      </w:r>
    </w:p>
    <w:p w14:paraId="7E9CEBDC" w14:textId="163E632B" w:rsidR="00467B61" w:rsidRPr="00EC01F6" w:rsidRDefault="00467B61"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In het verlengde daarvan reageert Van Kempen op de vraag </w:t>
      </w:r>
      <w:r w:rsidR="00DE22B7" w:rsidRPr="00EC01F6">
        <w:rPr>
          <w:rFonts w:ascii="Times New Roman" w:hAnsi="Times New Roman" w:cs="Times New Roman"/>
          <w:sz w:val="24"/>
          <w:szCs w:val="24"/>
        </w:rPr>
        <w:t xml:space="preserve">van </w:t>
      </w:r>
      <w:r w:rsidRPr="00EC01F6">
        <w:rPr>
          <w:rFonts w:ascii="Times New Roman" w:hAnsi="Times New Roman" w:cs="Times New Roman"/>
          <w:sz w:val="24"/>
          <w:szCs w:val="24"/>
        </w:rPr>
        <w:t>Van den Kerkhof of tariefarbitrage mogelijk is. Zij meent van niet</w:t>
      </w:r>
      <w:r w:rsidR="009819A7">
        <w:rPr>
          <w:rFonts w:ascii="Times New Roman" w:hAnsi="Times New Roman" w:cs="Times New Roman"/>
          <w:sz w:val="24"/>
          <w:szCs w:val="24"/>
        </w:rPr>
        <w:t>,</w:t>
      </w:r>
      <w:r w:rsidRPr="00EC01F6">
        <w:rPr>
          <w:rFonts w:ascii="Times New Roman" w:hAnsi="Times New Roman" w:cs="Times New Roman"/>
          <w:sz w:val="24"/>
          <w:szCs w:val="24"/>
        </w:rPr>
        <w:t xml:space="preserve"> omdat in de eerste fase (belasting van winst bij de objectieve onderneming) geen reserves gevormd kunnen worden en in het tarief van de eerste fase de progressiviteit </w:t>
      </w:r>
      <w:r w:rsidR="00255542" w:rsidRPr="00EC01F6">
        <w:rPr>
          <w:rFonts w:ascii="Times New Roman" w:hAnsi="Times New Roman" w:cs="Times New Roman"/>
          <w:sz w:val="24"/>
          <w:szCs w:val="24"/>
        </w:rPr>
        <w:t xml:space="preserve">is </w:t>
      </w:r>
      <w:r w:rsidRPr="00EC01F6">
        <w:rPr>
          <w:rFonts w:ascii="Times New Roman" w:hAnsi="Times New Roman" w:cs="Times New Roman"/>
          <w:sz w:val="24"/>
          <w:szCs w:val="24"/>
        </w:rPr>
        <w:t>ingebouwd.</w:t>
      </w:r>
    </w:p>
    <w:p w14:paraId="65115D6B" w14:textId="77777777" w:rsidR="008D726B" w:rsidRPr="00EC01F6" w:rsidRDefault="008D726B" w:rsidP="00EC01F6">
      <w:pPr>
        <w:ind w:left="360"/>
        <w:rPr>
          <w:rFonts w:ascii="Times New Roman" w:hAnsi="Times New Roman" w:cs="Times New Roman"/>
          <w:i/>
          <w:sz w:val="24"/>
          <w:szCs w:val="24"/>
        </w:rPr>
      </w:pPr>
      <w:r w:rsidRPr="00EC01F6">
        <w:rPr>
          <w:rFonts w:ascii="Times New Roman" w:hAnsi="Times New Roman" w:cs="Times New Roman"/>
          <w:i/>
          <w:sz w:val="24"/>
          <w:szCs w:val="24"/>
        </w:rPr>
        <w:t>6.3</w:t>
      </w:r>
      <w:r w:rsidR="00970C10" w:rsidRPr="00EC01F6">
        <w:rPr>
          <w:rFonts w:ascii="Times New Roman" w:hAnsi="Times New Roman" w:cs="Times New Roman"/>
          <w:i/>
          <w:sz w:val="24"/>
          <w:szCs w:val="24"/>
        </w:rPr>
        <w:t xml:space="preserve"> Tuk</w:t>
      </w:r>
    </w:p>
    <w:p w14:paraId="6639AD82" w14:textId="2B2E332A" w:rsidR="008D726B" w:rsidRPr="00EC01F6" w:rsidRDefault="00970C10"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Vanwege het ontbreken van een gedegen grondslag is er in art. 2</w:t>
      </w:r>
      <w:r w:rsidR="00255542" w:rsidRPr="00EC01F6">
        <w:rPr>
          <w:rFonts w:ascii="Times New Roman" w:hAnsi="Times New Roman" w:cs="Times New Roman"/>
          <w:sz w:val="24"/>
          <w:szCs w:val="24"/>
        </w:rPr>
        <w:t xml:space="preserve"> lid 1</w:t>
      </w:r>
      <w:r w:rsidRPr="00EC01F6">
        <w:rPr>
          <w:rFonts w:ascii="Times New Roman" w:hAnsi="Times New Roman" w:cs="Times New Roman"/>
          <w:sz w:val="24"/>
          <w:szCs w:val="24"/>
        </w:rPr>
        <w:t xml:space="preserve"> Wet V</w:t>
      </w:r>
      <w:r w:rsidR="00A27FB9" w:rsidRPr="00EC01F6">
        <w:rPr>
          <w:rFonts w:ascii="Times New Roman" w:hAnsi="Times New Roman" w:cs="Times New Roman"/>
          <w:sz w:val="24"/>
          <w:szCs w:val="24"/>
        </w:rPr>
        <w:t>p</w:t>
      </w:r>
      <w:r w:rsidRPr="00EC01F6">
        <w:rPr>
          <w:rFonts w:ascii="Times New Roman" w:hAnsi="Times New Roman" w:cs="Times New Roman"/>
          <w:sz w:val="24"/>
          <w:szCs w:val="24"/>
        </w:rPr>
        <w:t xml:space="preserve">B 1969 een </w:t>
      </w:r>
      <w:r w:rsidRPr="00EC01F6">
        <w:rPr>
          <w:rFonts w:ascii="Times New Roman" w:hAnsi="Times New Roman" w:cs="Times New Roman"/>
          <w:i/>
          <w:sz w:val="24"/>
          <w:szCs w:val="24"/>
        </w:rPr>
        <w:t xml:space="preserve">ad hoc </w:t>
      </w:r>
      <w:r w:rsidRPr="00EC01F6">
        <w:rPr>
          <w:rFonts w:ascii="Times New Roman" w:hAnsi="Times New Roman" w:cs="Times New Roman"/>
          <w:sz w:val="24"/>
          <w:szCs w:val="24"/>
        </w:rPr>
        <w:t xml:space="preserve">lijst ontstaan van </w:t>
      </w:r>
      <w:r w:rsidR="00FD3E7E" w:rsidRPr="00EC01F6">
        <w:rPr>
          <w:rFonts w:ascii="Times New Roman" w:hAnsi="Times New Roman" w:cs="Times New Roman"/>
          <w:sz w:val="24"/>
          <w:szCs w:val="24"/>
        </w:rPr>
        <w:t>lichamen die wel en niet belastingplichtig zijn</w:t>
      </w:r>
      <w:r w:rsidR="00FD4D31" w:rsidRPr="00EC01F6">
        <w:rPr>
          <w:rFonts w:ascii="Times New Roman" w:hAnsi="Times New Roman" w:cs="Times New Roman"/>
          <w:sz w:val="24"/>
          <w:szCs w:val="24"/>
        </w:rPr>
        <w:t>, aldus Tuk.</w:t>
      </w:r>
      <w:r w:rsidR="00FD3E7E" w:rsidRPr="00EC01F6">
        <w:rPr>
          <w:rFonts w:ascii="Times New Roman" w:hAnsi="Times New Roman" w:cs="Times New Roman"/>
          <w:sz w:val="24"/>
          <w:szCs w:val="24"/>
        </w:rPr>
        <w:t xml:space="preserve"> En de </w:t>
      </w:r>
      <w:r w:rsidR="00FD3E7E" w:rsidRPr="00EC01F6">
        <w:rPr>
          <w:rFonts w:ascii="Times New Roman" w:hAnsi="Times New Roman" w:cs="Times New Roman"/>
          <w:i/>
          <w:sz w:val="24"/>
          <w:szCs w:val="24"/>
        </w:rPr>
        <w:t>ad hoc</w:t>
      </w:r>
      <w:r w:rsidR="00FD3E7E" w:rsidRPr="00EC01F6">
        <w:rPr>
          <w:rFonts w:ascii="Times New Roman" w:hAnsi="Times New Roman" w:cs="Times New Roman"/>
          <w:sz w:val="24"/>
          <w:szCs w:val="24"/>
        </w:rPr>
        <w:t xml:space="preserve"> lijst van art. 3</w:t>
      </w:r>
      <w:r w:rsidR="00255542" w:rsidRPr="00EC01F6">
        <w:rPr>
          <w:rFonts w:ascii="Times New Roman" w:hAnsi="Times New Roman" w:cs="Times New Roman"/>
          <w:sz w:val="24"/>
          <w:szCs w:val="24"/>
        </w:rPr>
        <w:t xml:space="preserve"> lid 1</w:t>
      </w:r>
      <w:r w:rsidR="00FD3E7E" w:rsidRPr="00EC01F6">
        <w:rPr>
          <w:rFonts w:ascii="Times New Roman" w:hAnsi="Times New Roman" w:cs="Times New Roman"/>
          <w:sz w:val="24"/>
          <w:szCs w:val="24"/>
        </w:rPr>
        <w:t xml:space="preserve"> Wet V</w:t>
      </w:r>
      <w:r w:rsidR="000F6EE7" w:rsidRPr="00EC01F6">
        <w:rPr>
          <w:rFonts w:ascii="Times New Roman" w:hAnsi="Times New Roman" w:cs="Times New Roman"/>
          <w:sz w:val="24"/>
          <w:szCs w:val="24"/>
        </w:rPr>
        <w:t>p</w:t>
      </w:r>
      <w:r w:rsidR="00FD3E7E" w:rsidRPr="00EC01F6">
        <w:rPr>
          <w:rFonts w:ascii="Times New Roman" w:hAnsi="Times New Roman" w:cs="Times New Roman"/>
          <w:sz w:val="24"/>
          <w:szCs w:val="24"/>
        </w:rPr>
        <w:t>B</w:t>
      </w:r>
      <w:r w:rsidR="000F6EE7" w:rsidRPr="00EC01F6">
        <w:rPr>
          <w:rFonts w:ascii="Times New Roman" w:hAnsi="Times New Roman" w:cs="Times New Roman"/>
          <w:sz w:val="24"/>
          <w:szCs w:val="24"/>
        </w:rPr>
        <w:t xml:space="preserve"> 1969</w:t>
      </w:r>
      <w:r w:rsidR="00FD3E7E" w:rsidRPr="00EC01F6">
        <w:rPr>
          <w:rFonts w:ascii="Times New Roman" w:hAnsi="Times New Roman" w:cs="Times New Roman"/>
          <w:sz w:val="24"/>
          <w:szCs w:val="24"/>
        </w:rPr>
        <w:t xml:space="preserve"> is weer een andere. Dit is het systeem waar we het al 50 jaar mee doen, maar </w:t>
      </w:r>
      <w:r w:rsidR="00FD4D31" w:rsidRPr="00EC01F6">
        <w:rPr>
          <w:rFonts w:ascii="Times New Roman" w:hAnsi="Times New Roman" w:cs="Times New Roman"/>
          <w:sz w:val="24"/>
          <w:szCs w:val="24"/>
        </w:rPr>
        <w:t>desalniettemin komt de commissie met een aantal aanbevelingen.</w:t>
      </w:r>
    </w:p>
    <w:p w14:paraId="4DC233AF" w14:textId="726F29BB" w:rsidR="00FD3E7E" w:rsidRPr="00EC01F6" w:rsidRDefault="00FD3E7E"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Het toestemmingsvereiste loopt volgens de spreker als rode draad door de internationale classificatieverschillen. Daarom heeft de commissie zich de onderzoeksvraag gesteld wat er zou gebeuren als dit vereiste wordt afgeschaft. Met andere woorden: wat gebeurt er als de open-cv wordt afgeschaft.</w:t>
      </w:r>
      <w:r w:rsidR="000847FD" w:rsidRPr="00EC01F6">
        <w:rPr>
          <w:rFonts w:ascii="Times New Roman" w:hAnsi="Times New Roman" w:cs="Times New Roman"/>
          <w:sz w:val="24"/>
          <w:szCs w:val="24"/>
        </w:rPr>
        <w:t xml:space="preserve"> </w:t>
      </w:r>
      <w:r w:rsidRPr="00EC01F6">
        <w:rPr>
          <w:rFonts w:ascii="Times New Roman" w:hAnsi="Times New Roman" w:cs="Times New Roman"/>
          <w:sz w:val="24"/>
          <w:szCs w:val="24"/>
        </w:rPr>
        <w:t>Verder is onderzocht wat er gebeurt als de personenvennootschap</w:t>
      </w:r>
      <w:r w:rsidR="009819A7">
        <w:rPr>
          <w:rFonts w:ascii="Times New Roman" w:hAnsi="Times New Roman" w:cs="Times New Roman"/>
          <w:sz w:val="24"/>
          <w:szCs w:val="24"/>
        </w:rPr>
        <w:t>p</w:t>
      </w:r>
      <w:r w:rsidRPr="00EC01F6">
        <w:rPr>
          <w:rFonts w:ascii="Times New Roman" w:hAnsi="Times New Roman" w:cs="Times New Roman"/>
          <w:sz w:val="24"/>
          <w:szCs w:val="24"/>
        </w:rPr>
        <w:t>en als gevolg van het nieuwe wetsvoorstel rechtspersoonlijkheid krijgen.</w:t>
      </w:r>
      <w:r w:rsidR="000847FD" w:rsidRPr="00EC01F6">
        <w:rPr>
          <w:rFonts w:ascii="Times New Roman" w:hAnsi="Times New Roman" w:cs="Times New Roman"/>
          <w:sz w:val="24"/>
          <w:szCs w:val="24"/>
        </w:rPr>
        <w:t xml:space="preserve"> Ten slotte is ook nog gekeken naar de vragen A en B in het kwalificatiebesluit en dan in het bijzonder in het licht van het wetsvoorstel voor </w:t>
      </w:r>
      <w:r w:rsidR="0003576F" w:rsidRPr="00EC01F6">
        <w:rPr>
          <w:rFonts w:ascii="Times New Roman" w:hAnsi="Times New Roman" w:cs="Times New Roman"/>
          <w:sz w:val="24"/>
          <w:szCs w:val="24"/>
        </w:rPr>
        <w:t>titel 7.13 BW</w:t>
      </w:r>
      <w:r w:rsidR="000847FD" w:rsidRPr="00EC01F6">
        <w:rPr>
          <w:rFonts w:ascii="Times New Roman" w:hAnsi="Times New Roman" w:cs="Times New Roman"/>
          <w:sz w:val="24"/>
          <w:szCs w:val="24"/>
        </w:rPr>
        <w:t>.</w:t>
      </w:r>
    </w:p>
    <w:p w14:paraId="2E45AA26" w14:textId="266DA129" w:rsidR="00562B05" w:rsidRPr="00EC01F6" w:rsidRDefault="0076449F"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Naar aanleiding van deze vragen is de commissie, zo bespreekt Tuk, gekomen tot de aanbeveling om de ad hoc-lijsten te laten bestaan, maar het kwalificatiebeleid te verduidelijken. Met dat laatste wordt bedoeld dat de methode van rechtsvormvergelijking voorop moet worden gezet in het kwalificatiebeleid</w:t>
      </w:r>
      <w:r w:rsidR="00172D41" w:rsidRPr="00EC01F6">
        <w:rPr>
          <w:rFonts w:ascii="Times New Roman" w:hAnsi="Times New Roman" w:cs="Times New Roman"/>
          <w:sz w:val="24"/>
          <w:szCs w:val="24"/>
        </w:rPr>
        <w:t>. Voor gevallen die niet met de rechtsvormvergelijking gekwalificeerd kunnen worden</w:t>
      </w:r>
      <w:r w:rsidR="00562B05" w:rsidRPr="00EC01F6">
        <w:rPr>
          <w:rFonts w:ascii="Times New Roman" w:hAnsi="Times New Roman" w:cs="Times New Roman"/>
          <w:sz w:val="24"/>
          <w:szCs w:val="24"/>
        </w:rPr>
        <w:t xml:space="preserve">, zoals de LLP, wordt de </w:t>
      </w:r>
      <w:r w:rsidR="00562B05" w:rsidRPr="00EC01F6">
        <w:rPr>
          <w:rFonts w:ascii="Times New Roman" w:hAnsi="Times New Roman" w:cs="Times New Roman"/>
          <w:i/>
          <w:sz w:val="24"/>
          <w:szCs w:val="24"/>
        </w:rPr>
        <w:t>symmetrical approach</w:t>
      </w:r>
      <w:r w:rsidR="00562B05" w:rsidRPr="00EC01F6">
        <w:rPr>
          <w:rFonts w:ascii="Times New Roman" w:hAnsi="Times New Roman" w:cs="Times New Roman"/>
          <w:sz w:val="24"/>
          <w:szCs w:val="24"/>
        </w:rPr>
        <w:t xml:space="preserve"> voorgesteld. Dan resteert de situatie dat een niet-vergelijkbare buitenlandse rechtsvorm in Nederland is gevestigd. Voor die gevallen beveelt de commissie aan om ze altijd als belastingplichtig (niet-transparant) te beschouwen, aldus Tuk.</w:t>
      </w:r>
    </w:p>
    <w:p w14:paraId="419D4B05" w14:textId="77777777" w:rsidR="00562B05" w:rsidRPr="00EC01F6" w:rsidRDefault="00FD4D31" w:rsidP="00EC01F6">
      <w:pPr>
        <w:ind w:left="360"/>
        <w:rPr>
          <w:rFonts w:ascii="Times New Roman" w:hAnsi="Times New Roman" w:cs="Times New Roman"/>
          <w:i/>
          <w:sz w:val="24"/>
          <w:szCs w:val="24"/>
        </w:rPr>
      </w:pPr>
      <w:r w:rsidRPr="00EC01F6">
        <w:rPr>
          <w:rFonts w:ascii="Times New Roman" w:hAnsi="Times New Roman" w:cs="Times New Roman"/>
          <w:i/>
          <w:sz w:val="24"/>
          <w:szCs w:val="24"/>
        </w:rPr>
        <w:t xml:space="preserve">6.4 </w:t>
      </w:r>
      <w:r w:rsidR="00562B05" w:rsidRPr="00EC01F6">
        <w:rPr>
          <w:rFonts w:ascii="Times New Roman" w:hAnsi="Times New Roman" w:cs="Times New Roman"/>
          <w:i/>
          <w:sz w:val="24"/>
          <w:szCs w:val="24"/>
        </w:rPr>
        <w:t>Fibbe</w:t>
      </w:r>
    </w:p>
    <w:p w14:paraId="4A53E924" w14:textId="58C7BB66" w:rsidR="00562B05" w:rsidRPr="00EC01F6" w:rsidRDefault="00562B05"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Bij monde van Fibbe sluiten de auteurs van het internationale hoofdstuk zich aan bij de opmerkingen van Pötgens. Het enige punt dat de spreker uitlicht is de opmerking van Pötgens dat een EU-richtlijn </w:t>
      </w:r>
      <w:r w:rsidR="00434BC7" w:rsidRPr="00EC01F6">
        <w:rPr>
          <w:rFonts w:ascii="Times New Roman" w:hAnsi="Times New Roman" w:cs="Times New Roman"/>
          <w:sz w:val="24"/>
          <w:szCs w:val="24"/>
        </w:rPr>
        <w:t xml:space="preserve">voor de </w:t>
      </w:r>
      <w:r w:rsidR="00434BC7" w:rsidRPr="00EC01F6">
        <w:rPr>
          <w:rFonts w:ascii="Times New Roman" w:hAnsi="Times New Roman" w:cs="Times New Roman"/>
          <w:i/>
          <w:sz w:val="24"/>
          <w:szCs w:val="24"/>
        </w:rPr>
        <w:t>symmetrical approach</w:t>
      </w:r>
      <w:r w:rsidR="00434BC7" w:rsidRPr="00EC01F6">
        <w:rPr>
          <w:rFonts w:ascii="Times New Roman" w:hAnsi="Times New Roman" w:cs="Times New Roman"/>
          <w:sz w:val="24"/>
          <w:szCs w:val="24"/>
        </w:rPr>
        <w:t xml:space="preserve"> </w:t>
      </w:r>
      <w:r w:rsidRPr="00EC01F6">
        <w:rPr>
          <w:rFonts w:ascii="Times New Roman" w:hAnsi="Times New Roman" w:cs="Times New Roman"/>
          <w:sz w:val="24"/>
          <w:szCs w:val="24"/>
        </w:rPr>
        <w:t xml:space="preserve">beter is dan eenzijdige </w:t>
      </w:r>
      <w:r w:rsidR="00434BC7" w:rsidRPr="00EC01F6">
        <w:rPr>
          <w:rFonts w:ascii="Times New Roman" w:hAnsi="Times New Roman" w:cs="Times New Roman"/>
          <w:sz w:val="24"/>
          <w:szCs w:val="24"/>
        </w:rPr>
        <w:t>invoering door Nederland. Fibbe meent dat alle voordelen die in het rapport zijn omschreven in stand blijven als Nederland het voorgestelde systeem eenzijdig invoert</w:t>
      </w:r>
      <w:r w:rsidR="00D21F26" w:rsidRPr="00EC01F6">
        <w:rPr>
          <w:rFonts w:ascii="Times New Roman" w:hAnsi="Times New Roman" w:cs="Times New Roman"/>
          <w:sz w:val="24"/>
          <w:szCs w:val="24"/>
        </w:rPr>
        <w:t xml:space="preserve">, maar EU-brede invoering zou natuurlijk nog beter zijn. Dit laatste lijkt voor nu </w:t>
      </w:r>
      <w:r w:rsidR="00C044A9" w:rsidRPr="00EC01F6">
        <w:rPr>
          <w:rFonts w:ascii="Times New Roman" w:hAnsi="Times New Roman" w:cs="Times New Roman"/>
          <w:sz w:val="24"/>
          <w:szCs w:val="24"/>
        </w:rPr>
        <w:t xml:space="preserve">echter </w:t>
      </w:r>
      <w:r w:rsidR="00D21F26" w:rsidRPr="00EC01F6">
        <w:rPr>
          <w:rFonts w:ascii="Times New Roman" w:hAnsi="Times New Roman" w:cs="Times New Roman"/>
          <w:sz w:val="24"/>
          <w:szCs w:val="24"/>
        </w:rPr>
        <w:t xml:space="preserve">een utopie </w:t>
      </w:r>
      <w:r w:rsidR="002C6A4A" w:rsidRPr="00EC01F6">
        <w:rPr>
          <w:rFonts w:ascii="Times New Roman" w:hAnsi="Times New Roman" w:cs="Times New Roman"/>
          <w:sz w:val="24"/>
          <w:szCs w:val="24"/>
        </w:rPr>
        <w:t>volgens</w:t>
      </w:r>
      <w:r w:rsidR="00D21F26" w:rsidRPr="00EC01F6">
        <w:rPr>
          <w:rFonts w:ascii="Times New Roman" w:hAnsi="Times New Roman" w:cs="Times New Roman"/>
          <w:sz w:val="24"/>
          <w:szCs w:val="24"/>
        </w:rPr>
        <w:t xml:space="preserve"> Fibbe.</w:t>
      </w:r>
      <w:r w:rsidR="00C044A9" w:rsidRPr="00EC01F6">
        <w:rPr>
          <w:rFonts w:ascii="Times New Roman" w:hAnsi="Times New Roman" w:cs="Times New Roman"/>
          <w:sz w:val="24"/>
          <w:szCs w:val="24"/>
        </w:rPr>
        <w:t xml:space="preserve"> De winst van dit rapport is dat Nederland niet hoeft te wachten op een EU- of OESO-brede invoering, maar al eenzijdig aan de slag kan.</w:t>
      </w:r>
    </w:p>
    <w:p w14:paraId="1023DA41" w14:textId="77777777" w:rsidR="006A58AA" w:rsidRPr="00EC01F6" w:rsidRDefault="006A58AA" w:rsidP="00EC01F6">
      <w:pPr>
        <w:pStyle w:val="Lijstalinea"/>
        <w:numPr>
          <w:ilvl w:val="0"/>
          <w:numId w:val="2"/>
        </w:numPr>
        <w:tabs>
          <w:tab w:val="left" w:pos="4820"/>
        </w:tabs>
        <w:rPr>
          <w:rFonts w:ascii="Times New Roman" w:hAnsi="Times New Roman" w:cs="Times New Roman"/>
          <w:i/>
          <w:sz w:val="24"/>
          <w:szCs w:val="24"/>
        </w:rPr>
      </w:pPr>
      <w:r w:rsidRPr="00EC01F6">
        <w:rPr>
          <w:rFonts w:ascii="Times New Roman" w:hAnsi="Times New Roman" w:cs="Times New Roman"/>
          <w:i/>
          <w:sz w:val="24"/>
          <w:szCs w:val="24"/>
        </w:rPr>
        <w:t>Discussie</w:t>
      </w:r>
    </w:p>
    <w:p w14:paraId="4A78B0BA" w14:textId="67DA627C" w:rsidR="006A58AA" w:rsidRPr="00EC01F6" w:rsidRDefault="006A58AA"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Vanuit de zaal komt de vraag</w:t>
      </w:r>
      <w:r w:rsidR="002C6A4A" w:rsidRPr="00EC01F6">
        <w:rPr>
          <w:rFonts w:ascii="Times New Roman" w:hAnsi="Times New Roman" w:cs="Times New Roman"/>
          <w:sz w:val="24"/>
          <w:szCs w:val="24"/>
        </w:rPr>
        <w:t xml:space="preserve"> </w:t>
      </w:r>
      <w:r w:rsidRPr="00EC01F6">
        <w:rPr>
          <w:rFonts w:ascii="Times New Roman" w:hAnsi="Times New Roman" w:cs="Times New Roman"/>
          <w:sz w:val="24"/>
          <w:szCs w:val="24"/>
        </w:rPr>
        <w:t xml:space="preserve">of de flexibiliteit van de personenvennootschappen </w:t>
      </w:r>
      <w:r w:rsidR="00C004BD" w:rsidRPr="00EC01F6">
        <w:rPr>
          <w:rFonts w:ascii="Times New Roman" w:hAnsi="Times New Roman" w:cs="Times New Roman"/>
          <w:sz w:val="24"/>
          <w:szCs w:val="24"/>
        </w:rPr>
        <w:t>teloorgaat</w:t>
      </w:r>
      <w:r w:rsidRPr="00EC01F6">
        <w:rPr>
          <w:rFonts w:ascii="Times New Roman" w:hAnsi="Times New Roman" w:cs="Times New Roman"/>
          <w:sz w:val="24"/>
          <w:szCs w:val="24"/>
        </w:rPr>
        <w:t xml:space="preserve"> door het nieuwe wetsvoorstel voor titel </w:t>
      </w:r>
      <w:r w:rsidR="002C6A4A" w:rsidRPr="00EC01F6">
        <w:rPr>
          <w:rFonts w:ascii="Times New Roman" w:hAnsi="Times New Roman" w:cs="Times New Roman"/>
          <w:sz w:val="24"/>
          <w:szCs w:val="24"/>
        </w:rPr>
        <w:t>7.</w:t>
      </w:r>
      <w:r w:rsidRPr="00EC01F6">
        <w:rPr>
          <w:rFonts w:ascii="Times New Roman" w:hAnsi="Times New Roman" w:cs="Times New Roman"/>
          <w:sz w:val="24"/>
          <w:szCs w:val="24"/>
        </w:rPr>
        <w:t xml:space="preserve">13 BW en of het alternatieve box 1-systeem </w:t>
      </w:r>
      <w:r w:rsidR="00C044A9" w:rsidRPr="00EC01F6">
        <w:rPr>
          <w:rFonts w:ascii="Times New Roman" w:hAnsi="Times New Roman" w:cs="Times New Roman"/>
          <w:sz w:val="24"/>
          <w:szCs w:val="24"/>
        </w:rPr>
        <w:t>de moeite</w:t>
      </w:r>
      <w:r w:rsidRPr="00EC01F6">
        <w:rPr>
          <w:rFonts w:ascii="Times New Roman" w:hAnsi="Times New Roman" w:cs="Times New Roman"/>
          <w:sz w:val="24"/>
          <w:szCs w:val="24"/>
        </w:rPr>
        <w:t xml:space="preserve"> waard is? Worden de ogen niet gesloten voor de nadelen zoals het importeren van box 2</w:t>
      </w:r>
      <w:r w:rsidR="002C6A4A" w:rsidRPr="00EC01F6">
        <w:rPr>
          <w:rFonts w:ascii="Times New Roman" w:hAnsi="Times New Roman" w:cs="Times New Roman"/>
          <w:sz w:val="24"/>
          <w:szCs w:val="24"/>
        </w:rPr>
        <w:t>-</w:t>
      </w:r>
      <w:r w:rsidRPr="00EC01F6">
        <w:rPr>
          <w:rFonts w:ascii="Times New Roman" w:hAnsi="Times New Roman" w:cs="Times New Roman"/>
          <w:sz w:val="24"/>
          <w:szCs w:val="24"/>
        </w:rPr>
        <w:t xml:space="preserve"> en gebruikelijk loon-discussies naar box 1? </w:t>
      </w:r>
    </w:p>
    <w:p w14:paraId="1320A37E" w14:textId="77777777" w:rsidR="006A58AA" w:rsidRPr="00EC01F6" w:rsidRDefault="006A58AA"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Voorzitter Essers vraagt de commissie nog waarom zij niet zijn overgegaan tot een ‘echte’ ondernemingswinstbelasting? Als dit systeem is bedoeld als tussenstap is hij bang dat door deze tussenstap de ondernemingswinstbelasting er misschien nooit meer zal komen.</w:t>
      </w:r>
    </w:p>
    <w:p w14:paraId="662CDD08" w14:textId="02F83B8E" w:rsidR="006A58AA" w:rsidRPr="00EC01F6" w:rsidRDefault="00DE2BC5"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Van Kempen reageert op </w:t>
      </w:r>
      <w:r w:rsidR="00255542" w:rsidRPr="00EC01F6">
        <w:rPr>
          <w:rFonts w:ascii="Times New Roman" w:hAnsi="Times New Roman" w:cs="Times New Roman"/>
          <w:sz w:val="24"/>
          <w:szCs w:val="24"/>
        </w:rPr>
        <w:t xml:space="preserve">de eerste vraag </w:t>
      </w:r>
      <w:r w:rsidR="00F01578" w:rsidRPr="00EC01F6">
        <w:rPr>
          <w:rFonts w:ascii="Times New Roman" w:hAnsi="Times New Roman" w:cs="Times New Roman"/>
          <w:sz w:val="24"/>
          <w:szCs w:val="24"/>
        </w:rPr>
        <w:t>en merkt op dat de gebruikelijk loon problematiek niet speelt in het nieuwe systeem. Toerekening van inkomen aan de inbreng in de onderneming of aan arbeid is namelijk niet relevant in het nieuwe stelsel. En op de vraag van Essers reageert zij met de opmerking dat zij en Doornebal voorstander zijn van de ondernemingswinstbelasting, maar daar zijn ondertussen vele boeken over geschreven zonder resultaat.</w:t>
      </w:r>
      <w:r w:rsidR="00FC4A2F" w:rsidRPr="00EC01F6">
        <w:rPr>
          <w:rFonts w:ascii="Times New Roman" w:hAnsi="Times New Roman" w:cs="Times New Roman"/>
          <w:sz w:val="24"/>
          <w:szCs w:val="24"/>
        </w:rPr>
        <w:t xml:space="preserve"> Bovendien zijn Van Kempen en Doornebal zo enthousiast geworden over di</w:t>
      </w:r>
      <w:r w:rsidR="00C044A9" w:rsidRPr="00EC01F6">
        <w:rPr>
          <w:rFonts w:ascii="Times New Roman" w:hAnsi="Times New Roman" w:cs="Times New Roman"/>
          <w:sz w:val="24"/>
          <w:szCs w:val="24"/>
        </w:rPr>
        <w:t>t</w:t>
      </w:r>
      <w:r w:rsidR="00FC4A2F" w:rsidRPr="00EC01F6">
        <w:rPr>
          <w:rFonts w:ascii="Times New Roman" w:hAnsi="Times New Roman" w:cs="Times New Roman"/>
          <w:sz w:val="24"/>
          <w:szCs w:val="24"/>
        </w:rPr>
        <w:t xml:space="preserve"> alternatieve systeem dat zij zich afvragen of een ondernemingswinstbelasting nog nodig is. </w:t>
      </w:r>
    </w:p>
    <w:p w14:paraId="622867F3" w14:textId="1E330418" w:rsidR="002C6A4A" w:rsidRPr="00EC01F6" w:rsidRDefault="00FC4A2F"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Doornebal, in aansluiting op de reactie van Van Kempen, merkt op dat de Wet V</w:t>
      </w:r>
      <w:r w:rsidR="004B48D5" w:rsidRPr="00EC01F6">
        <w:rPr>
          <w:rFonts w:ascii="Times New Roman" w:hAnsi="Times New Roman" w:cs="Times New Roman"/>
          <w:sz w:val="24"/>
          <w:szCs w:val="24"/>
        </w:rPr>
        <w:t>p</w:t>
      </w:r>
      <w:r w:rsidRPr="00EC01F6">
        <w:rPr>
          <w:rFonts w:ascii="Times New Roman" w:hAnsi="Times New Roman" w:cs="Times New Roman"/>
          <w:sz w:val="24"/>
          <w:szCs w:val="24"/>
        </w:rPr>
        <w:t>B 1969 van toepassing is op zowel de bv’tjes met € 25.000 winst als de grote internationale concerns. Het overgrote deel van de Wet V</w:t>
      </w:r>
      <w:r w:rsidR="00871299" w:rsidRPr="00EC01F6">
        <w:rPr>
          <w:rFonts w:ascii="Times New Roman" w:hAnsi="Times New Roman" w:cs="Times New Roman"/>
          <w:sz w:val="24"/>
          <w:szCs w:val="24"/>
        </w:rPr>
        <w:t>p</w:t>
      </w:r>
      <w:r w:rsidRPr="00EC01F6">
        <w:rPr>
          <w:rFonts w:ascii="Times New Roman" w:hAnsi="Times New Roman" w:cs="Times New Roman"/>
          <w:sz w:val="24"/>
          <w:szCs w:val="24"/>
        </w:rPr>
        <w:t xml:space="preserve">B 1969 is echter louter gericht op oneigenlijk handelen van de laatstgenoemde categorie. Daarom stelt hij voor een vpb-light te introduceren voor kleine of nationale bv’s. </w:t>
      </w:r>
    </w:p>
    <w:p w14:paraId="4328D2A2" w14:textId="655AE0E8" w:rsidR="00FC4A2F" w:rsidRPr="00EC01F6" w:rsidRDefault="00FC4A2F"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 xml:space="preserve">De commissievoorzitter Stevens vraagt zich </w:t>
      </w:r>
      <w:r w:rsidR="002C6A4A" w:rsidRPr="00EC01F6">
        <w:rPr>
          <w:rFonts w:ascii="Times New Roman" w:hAnsi="Times New Roman" w:cs="Times New Roman"/>
          <w:sz w:val="24"/>
          <w:szCs w:val="24"/>
        </w:rPr>
        <w:t xml:space="preserve">af of </w:t>
      </w:r>
      <w:r w:rsidRPr="00EC01F6">
        <w:rPr>
          <w:rFonts w:ascii="Times New Roman" w:hAnsi="Times New Roman" w:cs="Times New Roman"/>
          <w:sz w:val="24"/>
          <w:szCs w:val="24"/>
        </w:rPr>
        <w:t xml:space="preserve">het gepresenteerde systeem ook </w:t>
      </w:r>
      <w:r w:rsidR="00C044A9" w:rsidRPr="00EC01F6">
        <w:rPr>
          <w:rFonts w:ascii="Times New Roman" w:hAnsi="Times New Roman" w:cs="Times New Roman"/>
          <w:sz w:val="24"/>
          <w:szCs w:val="24"/>
        </w:rPr>
        <w:t xml:space="preserve">niet </w:t>
      </w:r>
      <w:r w:rsidR="00413B35" w:rsidRPr="00EC01F6">
        <w:rPr>
          <w:rFonts w:ascii="Times New Roman" w:hAnsi="Times New Roman" w:cs="Times New Roman"/>
          <w:sz w:val="24"/>
          <w:szCs w:val="24"/>
        </w:rPr>
        <w:t xml:space="preserve">beter </w:t>
      </w:r>
      <w:r w:rsidR="002C6A4A" w:rsidRPr="00EC01F6">
        <w:rPr>
          <w:rFonts w:ascii="Times New Roman" w:hAnsi="Times New Roman" w:cs="Times New Roman"/>
          <w:sz w:val="24"/>
          <w:szCs w:val="24"/>
        </w:rPr>
        <w:t>geïncorporeerd</w:t>
      </w:r>
      <w:r w:rsidRPr="00EC01F6">
        <w:rPr>
          <w:rFonts w:ascii="Times New Roman" w:hAnsi="Times New Roman" w:cs="Times New Roman"/>
          <w:sz w:val="24"/>
          <w:szCs w:val="24"/>
        </w:rPr>
        <w:t xml:space="preserve"> kan worden in de vennootschapsbelasting. Hier reageert voorzitter Essers op door het vermoeden uit te spreken dat </w:t>
      </w:r>
      <w:r w:rsidR="00C044A9" w:rsidRPr="00EC01F6">
        <w:rPr>
          <w:rFonts w:ascii="Times New Roman" w:hAnsi="Times New Roman" w:cs="Times New Roman"/>
          <w:sz w:val="24"/>
          <w:szCs w:val="24"/>
        </w:rPr>
        <w:t xml:space="preserve">daarmee </w:t>
      </w:r>
      <w:r w:rsidRPr="00EC01F6">
        <w:rPr>
          <w:rFonts w:ascii="Times New Roman" w:hAnsi="Times New Roman" w:cs="Times New Roman"/>
          <w:sz w:val="24"/>
          <w:szCs w:val="24"/>
        </w:rPr>
        <w:t xml:space="preserve">heel veel problemen opgelost zouden kunnen worden. Zo zijn </w:t>
      </w:r>
      <w:r w:rsidR="00413B35" w:rsidRPr="00EC01F6">
        <w:rPr>
          <w:rFonts w:ascii="Times New Roman" w:hAnsi="Times New Roman" w:cs="Times New Roman"/>
          <w:sz w:val="24"/>
          <w:szCs w:val="24"/>
        </w:rPr>
        <w:t>(</w:t>
      </w:r>
      <w:r w:rsidRPr="00EC01F6">
        <w:rPr>
          <w:rFonts w:ascii="Times New Roman" w:hAnsi="Times New Roman" w:cs="Times New Roman"/>
          <w:sz w:val="24"/>
          <w:szCs w:val="24"/>
        </w:rPr>
        <w:t>arbeids</w:t>
      </w:r>
      <w:r w:rsidR="00413B35" w:rsidRPr="00EC01F6">
        <w:rPr>
          <w:rFonts w:ascii="Times New Roman" w:hAnsi="Times New Roman" w:cs="Times New Roman"/>
          <w:sz w:val="24"/>
          <w:szCs w:val="24"/>
        </w:rPr>
        <w:t>)</w:t>
      </w:r>
      <w:r w:rsidRPr="00EC01F6">
        <w:rPr>
          <w:rFonts w:ascii="Times New Roman" w:hAnsi="Times New Roman" w:cs="Times New Roman"/>
          <w:sz w:val="24"/>
          <w:szCs w:val="24"/>
        </w:rPr>
        <w:t xml:space="preserve">contracten tussen de ondernemer en zijn onderneming </w:t>
      </w:r>
      <w:r w:rsidR="00255542" w:rsidRPr="00EC01F6">
        <w:rPr>
          <w:rFonts w:ascii="Times New Roman" w:hAnsi="Times New Roman" w:cs="Times New Roman"/>
          <w:sz w:val="24"/>
          <w:szCs w:val="24"/>
        </w:rPr>
        <w:t xml:space="preserve">fiscaal </w:t>
      </w:r>
      <w:r w:rsidRPr="00EC01F6">
        <w:rPr>
          <w:rFonts w:ascii="Times New Roman" w:hAnsi="Times New Roman" w:cs="Times New Roman"/>
          <w:sz w:val="24"/>
          <w:szCs w:val="24"/>
        </w:rPr>
        <w:t xml:space="preserve">niet meer </w:t>
      </w:r>
      <w:r w:rsidR="00C30B6D" w:rsidRPr="00EC01F6">
        <w:rPr>
          <w:rFonts w:ascii="Times New Roman" w:hAnsi="Times New Roman" w:cs="Times New Roman"/>
          <w:sz w:val="24"/>
          <w:szCs w:val="24"/>
        </w:rPr>
        <w:t>relevant</w:t>
      </w:r>
      <w:r w:rsidRPr="00EC01F6">
        <w:rPr>
          <w:rFonts w:ascii="Times New Roman" w:hAnsi="Times New Roman" w:cs="Times New Roman"/>
          <w:sz w:val="24"/>
          <w:szCs w:val="24"/>
        </w:rPr>
        <w:t xml:space="preserve"> in het systeem van Doornebal en Van Kempen </w:t>
      </w:r>
      <w:r w:rsidR="00C30B6D" w:rsidRPr="00EC01F6">
        <w:rPr>
          <w:rFonts w:ascii="Times New Roman" w:hAnsi="Times New Roman" w:cs="Times New Roman"/>
          <w:sz w:val="24"/>
          <w:szCs w:val="24"/>
        </w:rPr>
        <w:t xml:space="preserve">en dat zou ook een uitkomst kunnen zijn voor de problemen tussen de dga en zijn bv die bijvoorbeeld worden bestreden door het </w:t>
      </w:r>
      <w:r w:rsidR="002C6A4A" w:rsidRPr="00EC01F6">
        <w:rPr>
          <w:rFonts w:ascii="Times New Roman" w:hAnsi="Times New Roman" w:cs="Times New Roman"/>
          <w:sz w:val="24"/>
          <w:szCs w:val="24"/>
        </w:rPr>
        <w:t xml:space="preserve">Wetsvoorstel excessief lenen bij </w:t>
      </w:r>
      <w:r w:rsidR="00255542" w:rsidRPr="00EC01F6">
        <w:rPr>
          <w:rFonts w:ascii="Times New Roman" w:hAnsi="Times New Roman" w:cs="Times New Roman"/>
          <w:sz w:val="24"/>
          <w:szCs w:val="24"/>
        </w:rPr>
        <w:t xml:space="preserve">de </w:t>
      </w:r>
      <w:r w:rsidR="002C6A4A" w:rsidRPr="00EC01F6">
        <w:rPr>
          <w:rFonts w:ascii="Times New Roman" w:hAnsi="Times New Roman" w:cs="Times New Roman"/>
          <w:sz w:val="24"/>
          <w:szCs w:val="24"/>
        </w:rPr>
        <w:t>eigen vennootschap</w:t>
      </w:r>
      <w:r w:rsidR="002C6A4A" w:rsidRPr="00EC01F6">
        <w:rPr>
          <w:rStyle w:val="Voetnootmarkering"/>
          <w:rFonts w:ascii="Times New Roman" w:hAnsi="Times New Roman" w:cs="Times New Roman"/>
          <w:sz w:val="24"/>
          <w:szCs w:val="24"/>
        </w:rPr>
        <w:footnoteReference w:id="49"/>
      </w:r>
      <w:r w:rsidR="00C30B6D" w:rsidRPr="00EC01F6">
        <w:rPr>
          <w:rFonts w:ascii="Times New Roman" w:hAnsi="Times New Roman" w:cs="Times New Roman"/>
          <w:sz w:val="24"/>
          <w:szCs w:val="24"/>
        </w:rPr>
        <w:t>.</w:t>
      </w:r>
    </w:p>
    <w:p w14:paraId="10256646" w14:textId="49B170EE" w:rsidR="00C30B6D" w:rsidRPr="00EC01F6" w:rsidRDefault="00C30B6D"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Ten</w:t>
      </w:r>
      <w:r w:rsidR="00255542" w:rsidRPr="00EC01F6">
        <w:rPr>
          <w:rFonts w:ascii="Times New Roman" w:hAnsi="Times New Roman" w:cs="Times New Roman"/>
          <w:sz w:val="24"/>
          <w:szCs w:val="24"/>
        </w:rPr>
        <w:t xml:space="preserve"> </w:t>
      </w:r>
      <w:r w:rsidRPr="00EC01F6">
        <w:rPr>
          <w:rFonts w:ascii="Times New Roman" w:hAnsi="Times New Roman" w:cs="Times New Roman"/>
          <w:sz w:val="24"/>
          <w:szCs w:val="24"/>
        </w:rPr>
        <w:t xml:space="preserve">slotte komt er nog een observatie via het </w:t>
      </w:r>
      <w:r w:rsidR="0081498B" w:rsidRPr="00EC01F6">
        <w:rPr>
          <w:rFonts w:ascii="Times New Roman" w:hAnsi="Times New Roman" w:cs="Times New Roman"/>
          <w:sz w:val="24"/>
          <w:szCs w:val="24"/>
        </w:rPr>
        <w:t>online platform</w:t>
      </w:r>
      <w:r w:rsidRPr="00EC01F6">
        <w:rPr>
          <w:rFonts w:ascii="Times New Roman" w:hAnsi="Times New Roman" w:cs="Times New Roman"/>
          <w:sz w:val="24"/>
          <w:szCs w:val="24"/>
        </w:rPr>
        <w:t xml:space="preserve"> binnen over de Wet bronbelasting 2021</w:t>
      </w:r>
      <w:r w:rsidR="00413B35" w:rsidRPr="00EC01F6">
        <w:rPr>
          <w:rFonts w:ascii="Times New Roman" w:hAnsi="Times New Roman" w:cs="Times New Roman"/>
          <w:sz w:val="24"/>
          <w:szCs w:val="24"/>
        </w:rPr>
        <w:t>van de heer Niekel</w:t>
      </w:r>
      <w:r w:rsidRPr="00EC01F6">
        <w:rPr>
          <w:rFonts w:ascii="Times New Roman" w:hAnsi="Times New Roman" w:cs="Times New Roman"/>
          <w:sz w:val="24"/>
          <w:szCs w:val="24"/>
        </w:rPr>
        <w:t>. Stel dat</w:t>
      </w:r>
      <w:r w:rsidR="0081498B" w:rsidRPr="00EC01F6">
        <w:rPr>
          <w:rFonts w:ascii="Times New Roman" w:hAnsi="Times New Roman" w:cs="Times New Roman"/>
          <w:sz w:val="24"/>
          <w:szCs w:val="24"/>
        </w:rPr>
        <w:t xml:space="preserve"> een </w:t>
      </w:r>
      <w:r w:rsidRPr="00EC01F6">
        <w:rPr>
          <w:rFonts w:ascii="Times New Roman" w:hAnsi="Times New Roman" w:cs="Times New Roman"/>
          <w:sz w:val="24"/>
          <w:szCs w:val="24"/>
        </w:rPr>
        <w:t>Amerikaanse LLC rente ontvangt van een Nederlandse vennootschap</w:t>
      </w:r>
      <w:r w:rsidR="0081498B" w:rsidRPr="00EC01F6">
        <w:rPr>
          <w:rFonts w:ascii="Times New Roman" w:hAnsi="Times New Roman" w:cs="Times New Roman"/>
          <w:sz w:val="24"/>
          <w:szCs w:val="24"/>
        </w:rPr>
        <w:t xml:space="preserve"> en die LLC een 100%-dochter is van een andere Amerikaanse LLC</w:t>
      </w:r>
      <w:r w:rsidRPr="00EC01F6">
        <w:rPr>
          <w:rFonts w:ascii="Times New Roman" w:hAnsi="Times New Roman" w:cs="Times New Roman"/>
          <w:sz w:val="24"/>
          <w:szCs w:val="24"/>
        </w:rPr>
        <w:t xml:space="preserve">, </w:t>
      </w:r>
      <w:r w:rsidR="00413B35" w:rsidRPr="00EC01F6">
        <w:rPr>
          <w:rFonts w:ascii="Times New Roman" w:hAnsi="Times New Roman" w:cs="Times New Roman"/>
          <w:sz w:val="24"/>
          <w:szCs w:val="24"/>
        </w:rPr>
        <w:t>waarbij vanuit US optiek beide LLC’s als fiscaal transparant worden beschouwd</w:t>
      </w:r>
      <w:r w:rsidR="00255542" w:rsidRPr="00EC01F6">
        <w:rPr>
          <w:rFonts w:ascii="Times New Roman" w:hAnsi="Times New Roman" w:cs="Times New Roman"/>
          <w:sz w:val="24"/>
          <w:szCs w:val="24"/>
        </w:rPr>
        <w:t>;</w:t>
      </w:r>
      <w:r w:rsidR="00413B35" w:rsidRPr="00EC01F6">
        <w:rPr>
          <w:rFonts w:ascii="Times New Roman" w:hAnsi="Times New Roman" w:cs="Times New Roman"/>
          <w:sz w:val="24"/>
          <w:szCs w:val="24"/>
        </w:rPr>
        <w:t xml:space="preserve"> </w:t>
      </w:r>
      <w:r w:rsidRPr="00EC01F6">
        <w:rPr>
          <w:rFonts w:ascii="Times New Roman" w:hAnsi="Times New Roman" w:cs="Times New Roman"/>
          <w:sz w:val="24"/>
          <w:szCs w:val="24"/>
        </w:rPr>
        <w:t xml:space="preserve">dan moet volgens de vragensteller op basis van de wet bronbelasting ingehouden worden terwijl de rente volledig in de heffing wordt betrokken in Amerika. Fibbe deelt de observaties en </w:t>
      </w:r>
      <w:r w:rsidR="00413B35" w:rsidRPr="00EC01F6">
        <w:rPr>
          <w:rFonts w:ascii="Times New Roman" w:hAnsi="Times New Roman" w:cs="Times New Roman"/>
          <w:sz w:val="24"/>
          <w:szCs w:val="24"/>
        </w:rPr>
        <w:t xml:space="preserve">wijst erop dat juist een dergelijke casus de noodzaak </w:t>
      </w:r>
      <w:r w:rsidRPr="00EC01F6">
        <w:rPr>
          <w:rFonts w:ascii="Times New Roman" w:hAnsi="Times New Roman" w:cs="Times New Roman"/>
          <w:sz w:val="24"/>
          <w:szCs w:val="24"/>
        </w:rPr>
        <w:t>illustreert</w:t>
      </w:r>
      <w:r w:rsidR="003A1333">
        <w:rPr>
          <w:rFonts w:ascii="Times New Roman" w:hAnsi="Times New Roman" w:cs="Times New Roman"/>
          <w:sz w:val="24"/>
          <w:szCs w:val="24"/>
        </w:rPr>
        <w:t xml:space="preserve"> </w:t>
      </w:r>
      <w:r w:rsidRPr="00EC01F6">
        <w:rPr>
          <w:rFonts w:ascii="Times New Roman" w:hAnsi="Times New Roman" w:cs="Times New Roman"/>
          <w:sz w:val="24"/>
          <w:szCs w:val="24"/>
        </w:rPr>
        <w:t>tot invoering van het systeem dat de commissie voorstelt.</w:t>
      </w:r>
    </w:p>
    <w:p w14:paraId="05D1419B" w14:textId="77777777" w:rsidR="00C30B6D" w:rsidRPr="00EC01F6" w:rsidRDefault="00531CB2" w:rsidP="00EC01F6">
      <w:pPr>
        <w:pStyle w:val="Lijstalinea"/>
        <w:numPr>
          <w:ilvl w:val="0"/>
          <w:numId w:val="2"/>
        </w:numPr>
        <w:tabs>
          <w:tab w:val="left" w:pos="4820"/>
        </w:tabs>
        <w:rPr>
          <w:rFonts w:ascii="Times New Roman" w:hAnsi="Times New Roman" w:cs="Times New Roman"/>
          <w:i/>
          <w:sz w:val="24"/>
          <w:szCs w:val="24"/>
        </w:rPr>
      </w:pPr>
      <w:r w:rsidRPr="00EC01F6">
        <w:rPr>
          <w:rFonts w:ascii="Times New Roman" w:hAnsi="Times New Roman" w:cs="Times New Roman"/>
          <w:i/>
          <w:sz w:val="24"/>
          <w:szCs w:val="24"/>
        </w:rPr>
        <w:t>Afsluiting</w:t>
      </w:r>
    </w:p>
    <w:p w14:paraId="47CE974C" w14:textId="4D688DF3" w:rsidR="00531CB2" w:rsidRPr="00EC01F6" w:rsidRDefault="00531CB2" w:rsidP="00EC01F6">
      <w:pPr>
        <w:tabs>
          <w:tab w:val="left" w:pos="4820"/>
        </w:tabs>
        <w:rPr>
          <w:rFonts w:ascii="Times New Roman" w:hAnsi="Times New Roman" w:cs="Times New Roman"/>
          <w:sz w:val="24"/>
          <w:szCs w:val="24"/>
        </w:rPr>
      </w:pPr>
      <w:r w:rsidRPr="00EC01F6">
        <w:rPr>
          <w:rFonts w:ascii="Times New Roman" w:hAnsi="Times New Roman" w:cs="Times New Roman"/>
          <w:sz w:val="24"/>
          <w:szCs w:val="24"/>
        </w:rPr>
        <w:t>De voorzitter feliciteert de commissie met het mooie rapport, bedankt de sprekers en vraagt alle deelnemers van de bijeenkomst om aandacht te vragen voor de voorstellen in het rapport</w:t>
      </w:r>
      <w:r w:rsidR="001D7DD5" w:rsidRPr="00EC01F6">
        <w:rPr>
          <w:rFonts w:ascii="Times New Roman" w:hAnsi="Times New Roman" w:cs="Times New Roman"/>
          <w:sz w:val="24"/>
          <w:szCs w:val="24"/>
        </w:rPr>
        <w:t>. Hoewel de vereniging zich uiteraard in beginsel richt op wetenschap, verdient dit voorstel alle reclame want het is volgens de voorzitter een duidelijk</w:t>
      </w:r>
      <w:r w:rsidR="00413B35" w:rsidRPr="00EC01F6">
        <w:rPr>
          <w:rFonts w:ascii="Times New Roman" w:hAnsi="Times New Roman" w:cs="Times New Roman"/>
          <w:sz w:val="24"/>
          <w:szCs w:val="24"/>
        </w:rPr>
        <w:t>e</w:t>
      </w:r>
      <w:r w:rsidR="001D7DD5" w:rsidRPr="00EC01F6">
        <w:rPr>
          <w:rFonts w:ascii="Times New Roman" w:hAnsi="Times New Roman" w:cs="Times New Roman"/>
          <w:sz w:val="24"/>
          <w:szCs w:val="24"/>
        </w:rPr>
        <w:t xml:space="preserve"> stap voorwaarts.</w:t>
      </w:r>
    </w:p>
    <w:sectPr w:rsidR="00531CB2" w:rsidRPr="00EC01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11CCF" w14:textId="77777777" w:rsidR="00FC6CF5" w:rsidRDefault="00FC6CF5" w:rsidP="00027BA8">
      <w:pPr>
        <w:spacing w:after="0" w:line="240" w:lineRule="auto"/>
      </w:pPr>
      <w:r>
        <w:separator/>
      </w:r>
    </w:p>
  </w:endnote>
  <w:endnote w:type="continuationSeparator" w:id="0">
    <w:p w14:paraId="5D985980" w14:textId="77777777" w:rsidR="00FC6CF5" w:rsidRDefault="00FC6CF5" w:rsidP="0002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63C84" w14:textId="77777777" w:rsidR="00FC6CF5" w:rsidRDefault="00FC6CF5" w:rsidP="00027BA8">
      <w:pPr>
        <w:spacing w:after="0" w:line="240" w:lineRule="auto"/>
      </w:pPr>
      <w:r>
        <w:separator/>
      </w:r>
    </w:p>
  </w:footnote>
  <w:footnote w:type="continuationSeparator" w:id="0">
    <w:p w14:paraId="52823F23" w14:textId="77777777" w:rsidR="00FC6CF5" w:rsidRDefault="00FC6CF5" w:rsidP="00027BA8">
      <w:pPr>
        <w:spacing w:after="0" w:line="240" w:lineRule="auto"/>
      </w:pPr>
      <w:r>
        <w:continuationSeparator/>
      </w:r>
    </w:p>
  </w:footnote>
  <w:footnote w:id="1">
    <w:p w14:paraId="76410962" w14:textId="77777777" w:rsidR="003E7D74" w:rsidRDefault="003E7D74">
      <w:pPr>
        <w:pStyle w:val="Voetnoottekst"/>
      </w:pPr>
      <w:r>
        <w:rPr>
          <w:rStyle w:val="Voetnootmarkering"/>
        </w:rPr>
        <w:footnoteRef/>
      </w:r>
      <w:r>
        <w:t xml:space="preserve"> Medewerker bij het wetenschappelijk bureau van de Hoge Raad. Dit verslag is geschreven op persoonlijke titel.</w:t>
      </w:r>
    </w:p>
  </w:footnote>
  <w:footnote w:id="2">
    <w:p w14:paraId="3811E6A5" w14:textId="6BD6FC76" w:rsidR="003E7D74" w:rsidRDefault="003E7D74">
      <w:pPr>
        <w:pStyle w:val="Voetnoottekst"/>
      </w:pPr>
      <w:r>
        <w:rPr>
          <w:rStyle w:val="Voetnootmarkering"/>
        </w:rPr>
        <w:footnoteRef/>
      </w:r>
      <w:r>
        <w:t xml:space="preserve"> </w:t>
      </w:r>
      <w:r w:rsidRPr="009D0C70">
        <w:t xml:space="preserve">P.H.J. Essers is voorzitter van de Vereniging en hoogleraar </w:t>
      </w:r>
      <w:r>
        <w:t>b</w:t>
      </w:r>
      <w:r w:rsidRPr="009D0C70">
        <w:t>elastingrecht aan Tilburg University.</w:t>
      </w:r>
    </w:p>
  </w:footnote>
  <w:footnote w:id="3">
    <w:p w14:paraId="21CA0D1A" w14:textId="77777777" w:rsidR="003E7D74" w:rsidRPr="00027BA8" w:rsidRDefault="003E7D74">
      <w:pPr>
        <w:pStyle w:val="Voetnoottekst"/>
      </w:pPr>
      <w:r>
        <w:rPr>
          <w:rStyle w:val="Voetnootmarkering"/>
        </w:rPr>
        <w:footnoteRef/>
      </w:r>
      <w:r>
        <w:t xml:space="preserve"> A.J.A. Stevens e.a., </w:t>
      </w:r>
      <w:r>
        <w:rPr>
          <w:i/>
        </w:rPr>
        <w:t xml:space="preserve">Rapport van de Commissie Personenvennootschappen: Belastingheffing van Personenvennootschappen – knelpunten en oplossing, </w:t>
      </w:r>
      <w:r w:rsidRPr="00027BA8">
        <w:t>Geschriften van de Vereniging voor Belastingwetenschap no. 260</w:t>
      </w:r>
      <w:r>
        <w:rPr>
          <w:i/>
        </w:rPr>
        <w:t>.</w:t>
      </w:r>
    </w:p>
  </w:footnote>
  <w:footnote w:id="4">
    <w:p w14:paraId="5F656B05" w14:textId="77777777" w:rsidR="003E7D74" w:rsidRPr="0003576F" w:rsidRDefault="003E7D74">
      <w:pPr>
        <w:pStyle w:val="Voetnoottekst"/>
      </w:pPr>
      <w:r>
        <w:rPr>
          <w:rStyle w:val="Voetnootmarkering"/>
        </w:rPr>
        <w:footnoteRef/>
      </w:r>
      <w:r>
        <w:t xml:space="preserve"> </w:t>
      </w:r>
      <w:r>
        <w:rPr>
          <w:i/>
        </w:rPr>
        <w:t xml:space="preserve">Kamerstukken II </w:t>
      </w:r>
      <w:r>
        <w:t>2002/03, 28 746.</w:t>
      </w:r>
    </w:p>
  </w:footnote>
  <w:footnote w:id="5">
    <w:p w14:paraId="50C79115" w14:textId="422E9A07" w:rsidR="003E7D74" w:rsidRDefault="003E7D74">
      <w:pPr>
        <w:pStyle w:val="Voetnoottekst"/>
      </w:pPr>
      <w:r>
        <w:rPr>
          <w:rStyle w:val="Voetnootmarkering"/>
        </w:rPr>
        <w:footnoteRef/>
      </w:r>
      <w:r>
        <w:t xml:space="preserve"> M. van Olffen e.a., </w:t>
      </w:r>
      <w:r w:rsidRPr="0003576F">
        <w:rPr>
          <w:i/>
        </w:rPr>
        <w:t>Modernisering Personenvennootschappen: Rapport van de Werkgroep Personenvennootschappen</w:t>
      </w:r>
      <w:r>
        <w:t>, 201</w:t>
      </w:r>
      <w:r w:rsidRPr="00EB67C1">
        <w:t>6.</w:t>
      </w:r>
    </w:p>
  </w:footnote>
  <w:footnote w:id="6">
    <w:p w14:paraId="1315AC8C" w14:textId="154D1AF8" w:rsidR="003E7D74" w:rsidRDefault="003E7D74">
      <w:pPr>
        <w:pStyle w:val="Voetnoottekst"/>
      </w:pPr>
      <w:r>
        <w:rPr>
          <w:rStyle w:val="Voetnootmarkering"/>
        </w:rPr>
        <w:footnoteRef/>
      </w:r>
      <w:r>
        <w:t xml:space="preserve"> A.J.A. Stevens is hoogleraar vennootschapsbelasting aan </w:t>
      </w:r>
      <w:r w:rsidRPr="009D0C70">
        <w:t>Tilburg University</w:t>
      </w:r>
      <w:r>
        <w:t xml:space="preserve"> en als of-counsel verbonden aan Loyens &amp; Loeff.</w:t>
      </w:r>
    </w:p>
  </w:footnote>
  <w:footnote w:id="7">
    <w:p w14:paraId="41892923" w14:textId="77777777" w:rsidR="003E7D74" w:rsidRDefault="003E7D74">
      <w:pPr>
        <w:pStyle w:val="Voetnoottekst"/>
      </w:pPr>
      <w:r>
        <w:rPr>
          <w:rStyle w:val="Voetnootmarkering"/>
        </w:rPr>
        <w:footnoteRef/>
      </w:r>
      <w:r>
        <w:t xml:space="preserve"> </w:t>
      </w:r>
      <w:r w:rsidRPr="00C65911">
        <w:t>Wetsvoorstel modernisering personenvennootschappen</w:t>
      </w:r>
      <w:r>
        <w:t xml:space="preserve">, KetenID: </w:t>
      </w:r>
      <w:r w:rsidRPr="00C65911">
        <w:t>WGK007901</w:t>
      </w:r>
      <w:r>
        <w:t>.</w:t>
      </w:r>
    </w:p>
  </w:footnote>
  <w:footnote w:id="8">
    <w:p w14:paraId="45FBF8FC" w14:textId="77777777" w:rsidR="003E7D74" w:rsidRDefault="003E7D74">
      <w:pPr>
        <w:pStyle w:val="Voetnoottekst"/>
      </w:pPr>
      <w:r>
        <w:rPr>
          <w:rStyle w:val="Voetnootmarkering"/>
        </w:rPr>
        <w:footnoteRef/>
      </w:r>
      <w:r>
        <w:t xml:space="preserve"> J. Doornebal was voorheen werkzaam aan de Erasmus Universiteit Rotterdam en bij EY Belastingadviseurs LLP.</w:t>
      </w:r>
    </w:p>
  </w:footnote>
  <w:footnote w:id="9">
    <w:p w14:paraId="6E8BAA25" w14:textId="77777777" w:rsidR="003E7D74" w:rsidRDefault="003E7D74">
      <w:pPr>
        <w:pStyle w:val="Voetnoottekst"/>
      </w:pPr>
      <w:r>
        <w:rPr>
          <w:rStyle w:val="Voetnootmarkering"/>
        </w:rPr>
        <w:footnoteRef/>
      </w:r>
      <w:r>
        <w:t xml:space="preserve"> M.L.M. van Kempen </w:t>
      </w:r>
      <w:r w:rsidRPr="00F261FD">
        <w:t xml:space="preserve">is </w:t>
      </w:r>
      <w:r>
        <w:t>universitair docent</w:t>
      </w:r>
      <w:r w:rsidRPr="00F261FD">
        <w:t xml:space="preserve"> aan Tilburg University</w:t>
      </w:r>
      <w:r>
        <w:t xml:space="preserve"> en rechter-plaatsvervanger in de Rechtbank Zeeland-West-Brabant.</w:t>
      </w:r>
    </w:p>
  </w:footnote>
  <w:footnote w:id="10">
    <w:p w14:paraId="7F0B3C08" w14:textId="77777777" w:rsidR="003E7D74" w:rsidRDefault="003E7D74">
      <w:pPr>
        <w:pStyle w:val="Voetnoottekst"/>
      </w:pPr>
      <w:r>
        <w:rPr>
          <w:rStyle w:val="Voetnootmarkering"/>
        </w:rPr>
        <w:footnoteRef/>
      </w:r>
      <w:r>
        <w:t xml:space="preserve"> Hoofdstuk 3 Wet IB 2001.</w:t>
      </w:r>
    </w:p>
  </w:footnote>
  <w:footnote w:id="11">
    <w:p w14:paraId="6D0B0301" w14:textId="31A030CE" w:rsidR="003E7D74" w:rsidRDefault="003E7D74">
      <w:pPr>
        <w:pStyle w:val="Voetnoottekst"/>
      </w:pPr>
      <w:r>
        <w:rPr>
          <w:rStyle w:val="Voetnootmarkering"/>
        </w:rPr>
        <w:footnoteRef/>
      </w:r>
      <w:r>
        <w:t xml:space="preserve"> Art. 22 Wet VpB 1969; vanaf 2021 15%.</w:t>
      </w:r>
    </w:p>
  </w:footnote>
  <w:footnote w:id="12">
    <w:p w14:paraId="5A7F2031" w14:textId="77777777" w:rsidR="003E7D74" w:rsidRDefault="003E7D74">
      <w:pPr>
        <w:pStyle w:val="Voetnoottekst"/>
      </w:pPr>
      <w:r>
        <w:rPr>
          <w:rStyle w:val="Voetnootmarkering"/>
        </w:rPr>
        <w:footnoteRef/>
      </w:r>
      <w:r>
        <w:t xml:space="preserve"> Art. 2.12 Wet IB 2001.</w:t>
      </w:r>
    </w:p>
  </w:footnote>
  <w:footnote w:id="13">
    <w:p w14:paraId="5A02E81E" w14:textId="77777777" w:rsidR="003E7D74" w:rsidRDefault="003E7D74">
      <w:pPr>
        <w:pStyle w:val="Voetnoottekst"/>
      </w:pPr>
      <w:r>
        <w:rPr>
          <w:rStyle w:val="Voetnootmarkering"/>
        </w:rPr>
        <w:footnoteRef/>
      </w:r>
      <w:r>
        <w:t xml:space="preserve"> Zie paragraaf 2.4.3 van het rapport.</w:t>
      </w:r>
    </w:p>
  </w:footnote>
  <w:footnote w:id="14">
    <w:p w14:paraId="3C8FAB74" w14:textId="77777777" w:rsidR="003E7D74" w:rsidRDefault="003E7D74">
      <w:pPr>
        <w:pStyle w:val="Voetnoottekst"/>
      </w:pPr>
      <w:r>
        <w:rPr>
          <w:rStyle w:val="Voetnootmarkering"/>
        </w:rPr>
        <w:footnoteRef/>
      </w:r>
      <w:r>
        <w:t xml:space="preserve"> Pagina 22 van het rapport.</w:t>
      </w:r>
    </w:p>
  </w:footnote>
  <w:footnote w:id="15">
    <w:p w14:paraId="6EB151D6" w14:textId="2EE0B7FC" w:rsidR="003E7D74" w:rsidRDefault="003E7D74">
      <w:pPr>
        <w:pStyle w:val="Voetnoottekst"/>
      </w:pPr>
      <w:r>
        <w:rPr>
          <w:rStyle w:val="Voetnootmarkering"/>
        </w:rPr>
        <w:footnoteRef/>
      </w:r>
      <w:r>
        <w:t xml:space="preserve"> S.A. Stevens is hoogleraar vennootschapsbelasting en bijzonder hoogleraar fiscale aspecten van maatschappelijke ondernemingen aan Tilburg University en verbonden aan HVK Stevens te Amsterdam.</w:t>
      </w:r>
    </w:p>
  </w:footnote>
  <w:footnote w:id="16">
    <w:p w14:paraId="239D70A3" w14:textId="4B2D5A1B" w:rsidR="003E7D74" w:rsidRDefault="003E7D74">
      <w:pPr>
        <w:pStyle w:val="Voetnoottekst"/>
      </w:pPr>
      <w:r>
        <w:rPr>
          <w:rStyle w:val="Voetnootmarkering"/>
        </w:rPr>
        <w:footnoteRef/>
      </w:r>
      <w:r>
        <w:t xml:space="preserve"> P.J. Tuk is werkzaam bij het Ministerie van Financiën/DG Belastingdienst/directie FJZ.</w:t>
      </w:r>
    </w:p>
  </w:footnote>
  <w:footnote w:id="17">
    <w:p w14:paraId="3BE380E4" w14:textId="57FFD314" w:rsidR="00476508" w:rsidRDefault="00476508">
      <w:pPr>
        <w:pStyle w:val="Voetnoottekst"/>
      </w:pPr>
      <w:r>
        <w:rPr>
          <w:rStyle w:val="Voetnootmarkering"/>
        </w:rPr>
        <w:footnoteRef/>
      </w:r>
      <w:r>
        <w:t xml:space="preserve"> Behoudens het begrip “</w:t>
      </w:r>
      <w:r w:rsidRPr="00476508">
        <w:t>publiekrechtelijke rechtspersonen</w:t>
      </w:r>
      <w:r>
        <w:t>”; zie art. 2, lid 1, onderdelen e en g en lid 10 Wet VpB 1969.</w:t>
      </w:r>
    </w:p>
  </w:footnote>
  <w:footnote w:id="18">
    <w:p w14:paraId="69F6D449" w14:textId="77777777" w:rsidR="003E7D74" w:rsidRDefault="003E7D74">
      <w:pPr>
        <w:pStyle w:val="Voetnoottekst"/>
      </w:pPr>
      <w:r>
        <w:rPr>
          <w:rStyle w:val="Voetnootmarkering"/>
        </w:rPr>
        <w:footnoteRef/>
      </w:r>
      <w:r>
        <w:t xml:space="preserve"> N. Idsinga is universitair docent aan de Universiteit van Amsterdam en werkzaam bij Arcagna.</w:t>
      </w:r>
    </w:p>
  </w:footnote>
  <w:footnote w:id="19">
    <w:p w14:paraId="3D3AE1C4" w14:textId="77777777" w:rsidR="003E7D74" w:rsidRDefault="003E7D74">
      <w:pPr>
        <w:pStyle w:val="Voetnoottekst"/>
      </w:pPr>
      <w:r>
        <w:rPr>
          <w:rStyle w:val="Voetnootmarkering"/>
        </w:rPr>
        <w:footnoteRef/>
      </w:r>
      <w:r>
        <w:t xml:space="preserve"> </w:t>
      </w:r>
      <w:r w:rsidRPr="00BE1AB4">
        <w:t>Hoofdstuk IIIA</w:t>
      </w:r>
      <w:r>
        <w:t xml:space="preserve"> SW 1956.</w:t>
      </w:r>
    </w:p>
  </w:footnote>
  <w:footnote w:id="20">
    <w:p w14:paraId="16F3EF9A" w14:textId="31AE2540" w:rsidR="003E7D74" w:rsidRDefault="003E7D74">
      <w:pPr>
        <w:pStyle w:val="Voetnoottekst"/>
      </w:pPr>
      <w:r>
        <w:rPr>
          <w:rStyle w:val="Voetnootmarkering"/>
        </w:rPr>
        <w:footnoteRef/>
      </w:r>
      <w:r>
        <w:t xml:space="preserve"> Art. 11 leden 1 en 2 SW 1956.</w:t>
      </w:r>
    </w:p>
  </w:footnote>
  <w:footnote w:id="21">
    <w:p w14:paraId="273BA0CB" w14:textId="77777777" w:rsidR="003E7D74" w:rsidRPr="00AC1538" w:rsidRDefault="003E7D74">
      <w:pPr>
        <w:pStyle w:val="Voetnoottekst"/>
      </w:pPr>
      <w:r>
        <w:rPr>
          <w:rStyle w:val="Voetnootmarkering"/>
        </w:rPr>
        <w:footnoteRef/>
      </w:r>
      <w:r>
        <w:t xml:space="preserve"> Besluit van de Staatssecretaris van 22 december 2009, </w:t>
      </w:r>
      <w:r w:rsidRPr="000B38F2">
        <w:t>CPP2009/519M</w:t>
      </w:r>
      <w:r>
        <w:t xml:space="preserve">, </w:t>
      </w:r>
      <w:r>
        <w:rPr>
          <w:i/>
        </w:rPr>
        <w:t xml:space="preserve">Stcrt. </w:t>
      </w:r>
      <w:r>
        <w:t>2009/19749.</w:t>
      </w:r>
    </w:p>
  </w:footnote>
  <w:footnote w:id="22">
    <w:p w14:paraId="359447EA" w14:textId="00D7C8BB" w:rsidR="003E7D74" w:rsidRDefault="003E7D74">
      <w:pPr>
        <w:pStyle w:val="Voetnoottekst"/>
      </w:pPr>
      <w:r>
        <w:rPr>
          <w:rStyle w:val="Voetnootmarkering"/>
        </w:rPr>
        <w:footnoteRef/>
      </w:r>
      <w:r>
        <w:t xml:space="preserve"> A. Rozendaal is zelfstandig fiscalist, verbonden aan RSM Nederland en docent/onderzoeker aan de Universiteit van Amsterdam.</w:t>
      </w:r>
    </w:p>
  </w:footnote>
  <w:footnote w:id="23">
    <w:p w14:paraId="1497B061" w14:textId="77777777" w:rsidR="003E7D74" w:rsidRDefault="003E7D74">
      <w:pPr>
        <w:pStyle w:val="Voetnoottekst"/>
      </w:pPr>
      <w:r>
        <w:rPr>
          <w:rStyle w:val="Voetnootmarkering"/>
        </w:rPr>
        <w:footnoteRef/>
      </w:r>
      <w:r>
        <w:t xml:space="preserve"> G.K. Fibbe is verbonden aan de Erasmus Universiteit Rotterdam en werkzaam bij Baker Tilly Netherlands N.V.</w:t>
      </w:r>
    </w:p>
  </w:footnote>
  <w:footnote w:id="24">
    <w:p w14:paraId="1A5640F3" w14:textId="77777777" w:rsidR="003E7D74" w:rsidRPr="00766AF6" w:rsidRDefault="003E7D74">
      <w:pPr>
        <w:pStyle w:val="Voetnoottekst"/>
      </w:pPr>
      <w:r>
        <w:rPr>
          <w:rStyle w:val="Voetnootmarkering"/>
        </w:rPr>
        <w:footnoteRef/>
      </w:r>
      <w:r w:rsidRPr="00B078E9">
        <w:rPr>
          <w:lang w:val="en-US"/>
        </w:rPr>
        <w:t xml:space="preserve"> Vgl. G. Fibbe, </w:t>
      </w:r>
      <w:r w:rsidRPr="00B078E9">
        <w:rPr>
          <w:i/>
          <w:lang w:val="en-US"/>
        </w:rPr>
        <w:t xml:space="preserve">EC Law Aspects of Hybrid Entities (diss. </w:t>
      </w:r>
      <w:r>
        <w:rPr>
          <w:i/>
        </w:rPr>
        <w:t>Rotterdam)</w:t>
      </w:r>
      <w:r>
        <w:t>, IBFD 2009.</w:t>
      </w:r>
    </w:p>
  </w:footnote>
  <w:footnote w:id="25">
    <w:p w14:paraId="7A06573B" w14:textId="77777777" w:rsidR="003E7D74" w:rsidRDefault="003E7D74">
      <w:pPr>
        <w:pStyle w:val="Voetnoottekst"/>
      </w:pPr>
      <w:r>
        <w:rPr>
          <w:rStyle w:val="Voetnootmarkering"/>
        </w:rPr>
        <w:footnoteRef/>
      </w:r>
      <w:r>
        <w:t xml:space="preserve"> J.P. Boer is hoogleraar algemeen belastingrecht aan Universiteit Leiden en werkzaam bij </w:t>
      </w:r>
      <w:r w:rsidRPr="00C41228">
        <w:t>Lubbers, Boer &amp; Douma.</w:t>
      </w:r>
    </w:p>
  </w:footnote>
  <w:footnote w:id="26">
    <w:p w14:paraId="604D7209" w14:textId="77777777" w:rsidR="003E7D74" w:rsidRPr="00B078E9" w:rsidRDefault="003E7D74">
      <w:pPr>
        <w:pStyle w:val="Voetnoottekst"/>
        <w:rPr>
          <w:lang w:val="de-DE"/>
        </w:rPr>
      </w:pPr>
      <w:r>
        <w:rPr>
          <w:rStyle w:val="Voetnootmarkering"/>
        </w:rPr>
        <w:footnoteRef/>
      </w:r>
      <w:r w:rsidRPr="00B078E9">
        <w:rPr>
          <w:lang w:val="de-DE"/>
        </w:rPr>
        <w:t xml:space="preserve"> HR 1 mei 2020, nr. 19/03252, ECLI:NL:HR:2020:828, </w:t>
      </w:r>
      <w:r w:rsidRPr="00B078E9">
        <w:rPr>
          <w:i/>
          <w:lang w:val="de-DE"/>
        </w:rPr>
        <w:t xml:space="preserve">BNB </w:t>
      </w:r>
      <w:r w:rsidRPr="00B078E9">
        <w:rPr>
          <w:lang w:val="de-DE"/>
        </w:rPr>
        <w:t>2020/101.</w:t>
      </w:r>
    </w:p>
  </w:footnote>
  <w:footnote w:id="27">
    <w:p w14:paraId="161CAA00" w14:textId="77777777" w:rsidR="003E7D74" w:rsidRPr="00B078E9" w:rsidRDefault="003E7D74">
      <w:pPr>
        <w:pStyle w:val="Voetnoottekst"/>
        <w:rPr>
          <w:lang w:val="de-DE"/>
        </w:rPr>
      </w:pPr>
      <w:r>
        <w:rPr>
          <w:rStyle w:val="Voetnootmarkering"/>
        </w:rPr>
        <w:footnoteRef/>
      </w:r>
      <w:r w:rsidRPr="00B078E9">
        <w:rPr>
          <w:lang w:val="de-DE"/>
        </w:rPr>
        <w:t xml:space="preserve"> HR 11 juli 2014, nr. 13/00372, ECLI:NL:HR:2014:1622, </w:t>
      </w:r>
      <w:r w:rsidRPr="00B078E9">
        <w:rPr>
          <w:i/>
          <w:lang w:val="de-DE"/>
        </w:rPr>
        <w:t xml:space="preserve">BNB </w:t>
      </w:r>
      <w:r w:rsidRPr="00B078E9">
        <w:rPr>
          <w:lang w:val="de-DE"/>
        </w:rPr>
        <w:t>2014/192.</w:t>
      </w:r>
    </w:p>
  </w:footnote>
  <w:footnote w:id="28">
    <w:p w14:paraId="64B27699" w14:textId="713C59CD" w:rsidR="003E7D74" w:rsidRDefault="003E7D74">
      <w:pPr>
        <w:pStyle w:val="Voetnoottekst"/>
      </w:pPr>
      <w:r>
        <w:rPr>
          <w:rStyle w:val="Voetnootmarkering"/>
        </w:rPr>
        <w:footnoteRef/>
      </w:r>
      <w:r>
        <w:t xml:space="preserve"> Art. 13 Wet VpB 1969.</w:t>
      </w:r>
    </w:p>
  </w:footnote>
  <w:footnote w:id="29">
    <w:p w14:paraId="2D7CB90E" w14:textId="77777777" w:rsidR="003E7D74" w:rsidRPr="00E201DE" w:rsidRDefault="003E7D74">
      <w:pPr>
        <w:pStyle w:val="Voetnoottekst"/>
      </w:pPr>
      <w:r>
        <w:rPr>
          <w:rStyle w:val="Voetnootmarkering"/>
        </w:rPr>
        <w:footnoteRef/>
      </w:r>
      <w:r>
        <w:t xml:space="preserve"> </w:t>
      </w:r>
      <w:r>
        <w:rPr>
          <w:i/>
        </w:rPr>
        <w:t xml:space="preserve">Kamerstukken II </w:t>
      </w:r>
      <w:r>
        <w:t>2019/20, 32 140, nr. 71.</w:t>
      </w:r>
    </w:p>
  </w:footnote>
  <w:footnote w:id="30">
    <w:p w14:paraId="24D41006" w14:textId="450C0F3E" w:rsidR="003E7D74" w:rsidRDefault="003E7D74">
      <w:pPr>
        <w:pStyle w:val="Voetnoottekst"/>
      </w:pPr>
      <w:r>
        <w:rPr>
          <w:rStyle w:val="Voetnootmarkering"/>
        </w:rPr>
        <w:footnoteRef/>
      </w:r>
      <w:r>
        <w:t xml:space="preserve"> Art. 9 lid 1, aanhef en onderdeel c, Wet VpB 1969.</w:t>
      </w:r>
    </w:p>
  </w:footnote>
  <w:footnote w:id="31">
    <w:p w14:paraId="76778A05" w14:textId="77777777" w:rsidR="003E7D74" w:rsidRDefault="003E7D74">
      <w:pPr>
        <w:pStyle w:val="Voetnoottekst"/>
      </w:pPr>
      <w:r>
        <w:rPr>
          <w:rStyle w:val="Voetnootmarkering"/>
        </w:rPr>
        <w:footnoteRef/>
      </w:r>
      <w:r>
        <w:t xml:space="preserve"> HR 2 juni 2006, nr. 40 919, </w:t>
      </w:r>
      <w:r w:rsidRPr="0010539E">
        <w:t>ECLI:NL:HR:2006:AX2034</w:t>
      </w:r>
      <w:r>
        <w:t xml:space="preserve">, </w:t>
      </w:r>
      <w:r w:rsidRPr="0010539E">
        <w:rPr>
          <w:i/>
        </w:rPr>
        <w:t>BNB</w:t>
      </w:r>
      <w:r>
        <w:t xml:space="preserve"> 2006/288.</w:t>
      </w:r>
    </w:p>
  </w:footnote>
  <w:footnote w:id="32">
    <w:p w14:paraId="62F6EBD5" w14:textId="77777777" w:rsidR="003E7D74" w:rsidRPr="00786706" w:rsidRDefault="003E7D74">
      <w:pPr>
        <w:pStyle w:val="Voetnoottekst"/>
      </w:pPr>
      <w:r>
        <w:rPr>
          <w:rStyle w:val="Voetnootmarkering"/>
        </w:rPr>
        <w:footnoteRef/>
      </w:r>
      <w:r>
        <w:t xml:space="preserve"> Vgl. HR 23 september 2011, 10/03724, </w:t>
      </w:r>
      <w:r w:rsidRPr="0010539E">
        <w:t>ECLI:NL:HR:2011:BT2292</w:t>
      </w:r>
      <w:r>
        <w:t xml:space="preserve">, </w:t>
      </w:r>
      <w:r>
        <w:rPr>
          <w:i/>
        </w:rPr>
        <w:t xml:space="preserve">BNB </w:t>
      </w:r>
      <w:r>
        <w:t>2012/12.</w:t>
      </w:r>
    </w:p>
  </w:footnote>
  <w:footnote w:id="33">
    <w:p w14:paraId="35C23AB3" w14:textId="77777777" w:rsidR="003E7D74" w:rsidRDefault="003E7D74">
      <w:pPr>
        <w:pStyle w:val="Voetnoottekst"/>
      </w:pPr>
      <w:r>
        <w:rPr>
          <w:rStyle w:val="Voetnootmarkering"/>
        </w:rPr>
        <w:footnoteRef/>
      </w:r>
      <w:r>
        <w:t xml:space="preserve"> </w:t>
      </w:r>
      <w:r w:rsidRPr="00F511A0">
        <w:t>Lijst van gekwalificeerde buitenlandse samenwerkingsverbanden</w:t>
      </w:r>
      <w:r>
        <w:t>.</w:t>
      </w:r>
    </w:p>
  </w:footnote>
  <w:footnote w:id="34">
    <w:p w14:paraId="178C9764" w14:textId="77777777" w:rsidR="008C47D2" w:rsidRDefault="008C47D2" w:rsidP="008C47D2">
      <w:pPr>
        <w:pStyle w:val="Voetnoottekst"/>
      </w:pPr>
      <w:r>
        <w:rPr>
          <w:rStyle w:val="Voetnootmarkering"/>
        </w:rPr>
        <w:footnoteRef/>
      </w:r>
      <w:r>
        <w:t xml:space="preserve"> Art. 2.14a Wet IB 2001.</w:t>
      </w:r>
    </w:p>
  </w:footnote>
  <w:footnote w:id="35">
    <w:p w14:paraId="079893B9" w14:textId="77777777" w:rsidR="008C47D2" w:rsidRDefault="008C47D2" w:rsidP="008C47D2">
      <w:pPr>
        <w:pStyle w:val="Voetnoottekst"/>
      </w:pPr>
      <w:r>
        <w:rPr>
          <w:rStyle w:val="Voetnootmarkering"/>
        </w:rPr>
        <w:footnoteRef/>
      </w:r>
      <w:r>
        <w:t xml:space="preserve"> HR 24 januari 2020, 19/03341, </w:t>
      </w:r>
      <w:r w:rsidRPr="00925F1A">
        <w:t>ECLI:NL:HR:2020:115</w:t>
      </w:r>
      <w:r>
        <w:t>, r.o. 3.7.1 tot en met 3.7.4.</w:t>
      </w:r>
    </w:p>
  </w:footnote>
  <w:footnote w:id="36">
    <w:p w14:paraId="66D9AD99" w14:textId="77777777" w:rsidR="003E7D74" w:rsidRDefault="003E7D74">
      <w:pPr>
        <w:pStyle w:val="Voetnoottekst"/>
      </w:pPr>
      <w:r>
        <w:rPr>
          <w:rStyle w:val="Voetnootmarkering"/>
        </w:rPr>
        <w:footnoteRef/>
      </w:r>
      <w:r>
        <w:t xml:space="preserve"> H.J. van den Kerkhof is werkzaam bij ABAB accountants en adviseurs en voorzitter van de vakgroep recht van de VLB.</w:t>
      </w:r>
    </w:p>
  </w:footnote>
  <w:footnote w:id="37">
    <w:p w14:paraId="47E5AAFC" w14:textId="77777777" w:rsidR="003E7D74" w:rsidRDefault="003E7D74">
      <w:pPr>
        <w:pStyle w:val="Voetnoottekst"/>
      </w:pPr>
      <w:r>
        <w:rPr>
          <w:rStyle w:val="Voetnootmarkering"/>
        </w:rPr>
        <w:footnoteRef/>
      </w:r>
      <w:r>
        <w:t xml:space="preserve"> HR 30 september 2016, nr. 15/01003, </w:t>
      </w:r>
      <w:r w:rsidRPr="00BA0922">
        <w:t>ECLI:NL:HR:2016:2199</w:t>
      </w:r>
      <w:r>
        <w:t>.</w:t>
      </w:r>
    </w:p>
  </w:footnote>
  <w:footnote w:id="38">
    <w:p w14:paraId="50DD6EAC" w14:textId="77777777" w:rsidR="003E7D74" w:rsidRPr="007A5AFA" w:rsidRDefault="003E7D74">
      <w:pPr>
        <w:pStyle w:val="Voetnoottekst"/>
      </w:pPr>
      <w:r>
        <w:rPr>
          <w:rStyle w:val="Voetnootmarkering"/>
        </w:rPr>
        <w:footnoteRef/>
      </w:r>
      <w:r>
        <w:t xml:space="preserve"> Besluit van de Staatssecretaris van 8 juli 2010, </w:t>
      </w:r>
      <w:r w:rsidRPr="007A5AFA">
        <w:t>DGB2010/3599M</w:t>
      </w:r>
      <w:r>
        <w:t xml:space="preserve">, </w:t>
      </w:r>
      <w:r>
        <w:rPr>
          <w:i/>
        </w:rPr>
        <w:t xml:space="preserve">Stcrt. </w:t>
      </w:r>
      <w:r>
        <w:t>2010, 10512.</w:t>
      </w:r>
    </w:p>
  </w:footnote>
  <w:footnote w:id="39">
    <w:p w14:paraId="59EB9041" w14:textId="77777777" w:rsidR="003E7D74" w:rsidRPr="0084229A" w:rsidRDefault="003E7D74">
      <w:pPr>
        <w:pStyle w:val="Voetnoottekst"/>
      </w:pPr>
      <w:r>
        <w:rPr>
          <w:rStyle w:val="Voetnootmarkering"/>
        </w:rPr>
        <w:footnoteRef/>
      </w:r>
      <w:r>
        <w:t xml:space="preserve"> Besluit van de Staatssecretaris van 23 november 2018, </w:t>
      </w:r>
      <w:r w:rsidRPr="0084229A">
        <w:t>2018-115091</w:t>
      </w:r>
      <w:r>
        <w:t xml:space="preserve">, </w:t>
      </w:r>
      <w:r>
        <w:rPr>
          <w:i/>
        </w:rPr>
        <w:t xml:space="preserve">Stcrt. </w:t>
      </w:r>
      <w:r>
        <w:t>2018, 68647.</w:t>
      </w:r>
    </w:p>
  </w:footnote>
  <w:footnote w:id="40">
    <w:p w14:paraId="1125BE0D" w14:textId="77777777" w:rsidR="003E7D74" w:rsidRDefault="003E7D74" w:rsidP="00193064">
      <w:pPr>
        <w:pStyle w:val="Voetnoottekst"/>
      </w:pPr>
      <w:r>
        <w:rPr>
          <w:rStyle w:val="Voetnootmarkering"/>
        </w:rPr>
        <w:footnoteRef/>
      </w:r>
      <w:r>
        <w:t xml:space="preserve"> </w:t>
      </w:r>
      <w:r w:rsidRPr="00A664D1">
        <w:t xml:space="preserve">F.P.G. Pötgens is </w:t>
      </w:r>
      <w:r>
        <w:t>h</w:t>
      </w:r>
      <w:r w:rsidRPr="00A664D1">
        <w:t xml:space="preserve">oogleraar </w:t>
      </w:r>
      <w:r>
        <w:t>i</w:t>
      </w:r>
      <w:r w:rsidRPr="00A664D1">
        <w:t>nternationa</w:t>
      </w:r>
      <w:r>
        <w:t>al</w:t>
      </w:r>
      <w:r w:rsidRPr="00A664D1">
        <w:t xml:space="preserve"> en </w:t>
      </w:r>
      <w:r>
        <w:t>E</w:t>
      </w:r>
      <w:r w:rsidRPr="00A664D1">
        <w:t xml:space="preserve">uropese belastingrecht aan de Vrije Universiteit Amsterdam en </w:t>
      </w:r>
      <w:r>
        <w:t>werkzaam</w:t>
      </w:r>
      <w:r w:rsidRPr="00A664D1">
        <w:t xml:space="preserve"> bij De Brauw Blackstone Westbroek</w:t>
      </w:r>
      <w:r>
        <w:t>.</w:t>
      </w:r>
    </w:p>
  </w:footnote>
  <w:footnote w:id="41">
    <w:p w14:paraId="6FF8AB4C" w14:textId="77777777" w:rsidR="003E7D74" w:rsidRPr="000320B7" w:rsidRDefault="003E7D74" w:rsidP="00193064">
      <w:pPr>
        <w:pStyle w:val="Voetnoottekst"/>
      </w:pPr>
      <w:r>
        <w:rPr>
          <w:rStyle w:val="Voetnootmarkering"/>
        </w:rPr>
        <w:footnoteRef/>
      </w:r>
      <w:r>
        <w:t xml:space="preserve"> HR 6 december 2013, nr. 12/00252, </w:t>
      </w:r>
      <w:r w:rsidRPr="000320B7">
        <w:t>ECLI:NL:HR:2013:1436</w:t>
      </w:r>
      <w:r>
        <w:t xml:space="preserve">, </w:t>
      </w:r>
      <w:r>
        <w:rPr>
          <w:i/>
        </w:rPr>
        <w:t xml:space="preserve">BNB </w:t>
      </w:r>
      <w:r>
        <w:t>2014/38.</w:t>
      </w:r>
    </w:p>
  </w:footnote>
  <w:footnote w:id="42">
    <w:p w14:paraId="31D073C1" w14:textId="77777777" w:rsidR="003E7D74" w:rsidRDefault="003E7D74" w:rsidP="00193064">
      <w:pPr>
        <w:pStyle w:val="Voetnoottekst"/>
      </w:pPr>
      <w:r>
        <w:rPr>
          <w:rStyle w:val="Voetnootmarkering"/>
        </w:rPr>
        <w:footnoteRef/>
      </w:r>
      <w:r>
        <w:t xml:space="preserve"> </w:t>
      </w:r>
      <w:r w:rsidRPr="00D05D12">
        <w:t>Notitie Fiscaal Verdragsbeleid 2020</w:t>
      </w:r>
      <w:r>
        <w:t>, par. 4.13.</w:t>
      </w:r>
    </w:p>
  </w:footnote>
  <w:footnote w:id="43">
    <w:p w14:paraId="24F57161" w14:textId="77777777" w:rsidR="003E7D74" w:rsidRPr="00BD5963" w:rsidRDefault="003E7D74" w:rsidP="00193064">
      <w:pPr>
        <w:pStyle w:val="Voetnoottekst"/>
      </w:pPr>
      <w:r>
        <w:rPr>
          <w:rStyle w:val="Voetnootmarkering"/>
        </w:rPr>
        <w:footnoteRef/>
      </w:r>
      <w:r>
        <w:t xml:space="preserve"> </w:t>
      </w:r>
      <w:r w:rsidRPr="00BD5963">
        <w:t>Besluit voorkoming dubbele belasting 2001</w:t>
      </w:r>
      <w:r>
        <w:t xml:space="preserve">, </w:t>
      </w:r>
      <w:r>
        <w:rPr>
          <w:i/>
        </w:rPr>
        <w:t xml:space="preserve">Stb. </w:t>
      </w:r>
      <w:r>
        <w:t>2000, 642.</w:t>
      </w:r>
    </w:p>
  </w:footnote>
  <w:footnote w:id="44">
    <w:p w14:paraId="770B6DE7" w14:textId="77777777" w:rsidR="003E7D74" w:rsidRDefault="003E7D74" w:rsidP="00193064">
      <w:pPr>
        <w:pStyle w:val="Voetnoottekst"/>
      </w:pPr>
      <w:r>
        <w:rPr>
          <w:rStyle w:val="Voetnootmarkering"/>
        </w:rPr>
        <w:footnoteRef/>
      </w:r>
      <w:r>
        <w:t xml:space="preserve"> P. 155 van het rapport.</w:t>
      </w:r>
    </w:p>
  </w:footnote>
  <w:footnote w:id="45">
    <w:p w14:paraId="0C8424B1" w14:textId="77777777" w:rsidR="003E7D74" w:rsidRDefault="003E7D74" w:rsidP="00193064">
      <w:pPr>
        <w:pStyle w:val="Voetnoottekst"/>
      </w:pPr>
      <w:r>
        <w:rPr>
          <w:rStyle w:val="Voetnootmarkering"/>
        </w:rPr>
        <w:footnoteRef/>
      </w:r>
      <w:r>
        <w:t xml:space="preserve"> P. 156 van het rapport.</w:t>
      </w:r>
    </w:p>
  </w:footnote>
  <w:footnote w:id="46">
    <w:p w14:paraId="448051D3" w14:textId="77777777" w:rsidR="003E7D74" w:rsidRPr="00CD70B6" w:rsidRDefault="003E7D74" w:rsidP="00193064">
      <w:pPr>
        <w:pStyle w:val="Voetnoottekst"/>
      </w:pPr>
      <w:r>
        <w:rPr>
          <w:rStyle w:val="Voetnootmarkering"/>
        </w:rPr>
        <w:footnoteRef/>
      </w:r>
      <w:r>
        <w:t xml:space="preserve"> </w:t>
      </w:r>
      <w:r w:rsidRPr="006739C1">
        <w:t>E.J. Spoelder, S. Sari en M.C. Rasenberg</w:t>
      </w:r>
      <w:r>
        <w:t>, “</w:t>
      </w:r>
      <w:r w:rsidRPr="00CD70B6">
        <w:t>Hybride knelpunten in ATAD2 en Wet Bronbelasting 2021</w:t>
      </w:r>
      <w:r>
        <w:t xml:space="preserve">”, </w:t>
      </w:r>
      <w:r>
        <w:rPr>
          <w:i/>
        </w:rPr>
        <w:t xml:space="preserve">WFR </w:t>
      </w:r>
      <w:r>
        <w:t>2020/106.</w:t>
      </w:r>
    </w:p>
  </w:footnote>
  <w:footnote w:id="47">
    <w:p w14:paraId="09CFD5FC" w14:textId="77777777" w:rsidR="003E7D74" w:rsidRDefault="003E7D74" w:rsidP="00193064">
      <w:pPr>
        <w:pStyle w:val="Voetnoottekst"/>
      </w:pPr>
      <w:r>
        <w:rPr>
          <w:rStyle w:val="Voetnootmarkering"/>
        </w:rPr>
        <w:footnoteRef/>
      </w:r>
      <w:r>
        <w:t xml:space="preserve"> </w:t>
      </w:r>
      <w:r w:rsidRPr="00CC2BAA">
        <w:t>Notitie Fiscaal Verdragsbeleid 2020</w:t>
      </w:r>
      <w:r>
        <w:t>, par. 3.3.1.</w:t>
      </w:r>
    </w:p>
  </w:footnote>
  <w:footnote w:id="48">
    <w:p w14:paraId="0550DF38" w14:textId="77777777" w:rsidR="003E7D74" w:rsidRDefault="003E7D74" w:rsidP="00193064">
      <w:pPr>
        <w:pStyle w:val="Voetnoottekst"/>
      </w:pPr>
      <w:r>
        <w:rPr>
          <w:rStyle w:val="Voetnootmarkering"/>
        </w:rPr>
        <w:footnoteRef/>
      </w:r>
      <w:r>
        <w:t xml:space="preserve"> Par. 80 </w:t>
      </w:r>
      <w:r w:rsidRPr="008568C6">
        <w:t>van het commentaar bij art. 23 OESO-modelverdrag</w:t>
      </w:r>
      <w:r>
        <w:t>.</w:t>
      </w:r>
    </w:p>
  </w:footnote>
  <w:footnote w:id="49">
    <w:p w14:paraId="16EAB9F5" w14:textId="77777777" w:rsidR="003E7D74" w:rsidRPr="00FA2A6C" w:rsidRDefault="003E7D74">
      <w:pPr>
        <w:pStyle w:val="Voetnoottekst"/>
      </w:pPr>
      <w:r>
        <w:rPr>
          <w:rStyle w:val="Voetnootmarkering"/>
        </w:rPr>
        <w:footnoteRef/>
      </w:r>
      <w:r>
        <w:t xml:space="preserve"> </w:t>
      </w:r>
      <w:r>
        <w:rPr>
          <w:i/>
        </w:rPr>
        <w:t xml:space="preserve">Kamerstukken II </w:t>
      </w:r>
      <w:r>
        <w:t>2019/20, 35 496.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812"/>
    <w:multiLevelType w:val="multilevel"/>
    <w:tmpl w:val="CFFA3174"/>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 w15:restartNumberingAfterBreak="0">
    <w:nsid w:val="429A4BF9"/>
    <w:multiLevelType w:val="hybridMultilevel"/>
    <w:tmpl w:val="D9C4BE10"/>
    <w:lvl w:ilvl="0" w:tplc="25CED8E8">
      <w:start w:val="5"/>
      <w:numFmt w:val="decimal"/>
      <w:lvlText w:val="%1."/>
      <w:lvlJc w:val="left"/>
      <w:pPr>
        <w:ind w:left="720" w:hanging="360"/>
      </w:pPr>
      <w:rPr>
        <w:rFonts w:hint="default"/>
        <w: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544121"/>
    <w:multiLevelType w:val="multilevel"/>
    <w:tmpl w:val="9A4260E8"/>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C6"/>
    <w:rsid w:val="0000118B"/>
    <w:rsid w:val="00002421"/>
    <w:rsid w:val="00011923"/>
    <w:rsid w:val="00012EE8"/>
    <w:rsid w:val="00013AD6"/>
    <w:rsid w:val="00013AF5"/>
    <w:rsid w:val="000142B7"/>
    <w:rsid w:val="000150B4"/>
    <w:rsid w:val="00015ECD"/>
    <w:rsid w:val="00016192"/>
    <w:rsid w:val="00016DD6"/>
    <w:rsid w:val="000251FD"/>
    <w:rsid w:val="00025281"/>
    <w:rsid w:val="00027BA8"/>
    <w:rsid w:val="000320B7"/>
    <w:rsid w:val="000337FB"/>
    <w:rsid w:val="0003576F"/>
    <w:rsid w:val="00035E66"/>
    <w:rsid w:val="000420E3"/>
    <w:rsid w:val="000434F4"/>
    <w:rsid w:val="00047225"/>
    <w:rsid w:val="0005042D"/>
    <w:rsid w:val="00050701"/>
    <w:rsid w:val="000566D8"/>
    <w:rsid w:val="00061A26"/>
    <w:rsid w:val="00063EEA"/>
    <w:rsid w:val="00066338"/>
    <w:rsid w:val="000712AC"/>
    <w:rsid w:val="000750E9"/>
    <w:rsid w:val="000847FD"/>
    <w:rsid w:val="00084ABD"/>
    <w:rsid w:val="00086091"/>
    <w:rsid w:val="00095485"/>
    <w:rsid w:val="00095C7B"/>
    <w:rsid w:val="000A0289"/>
    <w:rsid w:val="000A2F7D"/>
    <w:rsid w:val="000A42A6"/>
    <w:rsid w:val="000B29FB"/>
    <w:rsid w:val="000B38F2"/>
    <w:rsid w:val="000B775D"/>
    <w:rsid w:val="000C06EF"/>
    <w:rsid w:val="000C1545"/>
    <w:rsid w:val="000C37CA"/>
    <w:rsid w:val="000D23A4"/>
    <w:rsid w:val="000D7177"/>
    <w:rsid w:val="000D7888"/>
    <w:rsid w:val="000E1D58"/>
    <w:rsid w:val="000F102A"/>
    <w:rsid w:val="000F2CD8"/>
    <w:rsid w:val="000F681E"/>
    <w:rsid w:val="000F6EE7"/>
    <w:rsid w:val="001002FA"/>
    <w:rsid w:val="00100F42"/>
    <w:rsid w:val="0010539E"/>
    <w:rsid w:val="00107588"/>
    <w:rsid w:val="00107F71"/>
    <w:rsid w:val="0011032E"/>
    <w:rsid w:val="00111CA3"/>
    <w:rsid w:val="001162EC"/>
    <w:rsid w:val="00120C1E"/>
    <w:rsid w:val="00121620"/>
    <w:rsid w:val="00124EDD"/>
    <w:rsid w:val="00132C49"/>
    <w:rsid w:val="0013341F"/>
    <w:rsid w:val="001351F9"/>
    <w:rsid w:val="00137052"/>
    <w:rsid w:val="00140BAB"/>
    <w:rsid w:val="00143720"/>
    <w:rsid w:val="001442AF"/>
    <w:rsid w:val="00146023"/>
    <w:rsid w:val="00147988"/>
    <w:rsid w:val="00150096"/>
    <w:rsid w:val="001523EE"/>
    <w:rsid w:val="0015796E"/>
    <w:rsid w:val="00162895"/>
    <w:rsid w:val="001633AF"/>
    <w:rsid w:val="0016340E"/>
    <w:rsid w:val="00164C46"/>
    <w:rsid w:val="00165503"/>
    <w:rsid w:val="00167275"/>
    <w:rsid w:val="00170546"/>
    <w:rsid w:val="00171E14"/>
    <w:rsid w:val="00172D41"/>
    <w:rsid w:val="0017779B"/>
    <w:rsid w:val="0018132C"/>
    <w:rsid w:val="001813AE"/>
    <w:rsid w:val="00183563"/>
    <w:rsid w:val="00185943"/>
    <w:rsid w:val="001900C3"/>
    <w:rsid w:val="001924A1"/>
    <w:rsid w:val="00193064"/>
    <w:rsid w:val="00195BFD"/>
    <w:rsid w:val="00197157"/>
    <w:rsid w:val="001A347E"/>
    <w:rsid w:val="001A7A59"/>
    <w:rsid w:val="001B0260"/>
    <w:rsid w:val="001B0B8C"/>
    <w:rsid w:val="001B217D"/>
    <w:rsid w:val="001B5699"/>
    <w:rsid w:val="001B7843"/>
    <w:rsid w:val="001C0231"/>
    <w:rsid w:val="001C1D9A"/>
    <w:rsid w:val="001C601A"/>
    <w:rsid w:val="001D052C"/>
    <w:rsid w:val="001D14CB"/>
    <w:rsid w:val="001D2852"/>
    <w:rsid w:val="001D3525"/>
    <w:rsid w:val="001D501B"/>
    <w:rsid w:val="001D67B4"/>
    <w:rsid w:val="001D7664"/>
    <w:rsid w:val="001D776A"/>
    <w:rsid w:val="001D7DD5"/>
    <w:rsid w:val="001E3482"/>
    <w:rsid w:val="001E3FF3"/>
    <w:rsid w:val="001E76DD"/>
    <w:rsid w:val="001E7930"/>
    <w:rsid w:val="001F1E49"/>
    <w:rsid w:val="001F2AFA"/>
    <w:rsid w:val="001F3AB0"/>
    <w:rsid w:val="001F3F4B"/>
    <w:rsid w:val="001F5E15"/>
    <w:rsid w:val="001F6FD0"/>
    <w:rsid w:val="00201E79"/>
    <w:rsid w:val="0020361C"/>
    <w:rsid w:val="00204871"/>
    <w:rsid w:val="00205350"/>
    <w:rsid w:val="002129A7"/>
    <w:rsid w:val="00212C63"/>
    <w:rsid w:val="00212F28"/>
    <w:rsid w:val="00214785"/>
    <w:rsid w:val="002153FF"/>
    <w:rsid w:val="00217BE5"/>
    <w:rsid w:val="00220C11"/>
    <w:rsid w:val="002214AA"/>
    <w:rsid w:val="002222B5"/>
    <w:rsid w:val="0022681A"/>
    <w:rsid w:val="00232C40"/>
    <w:rsid w:val="00233FB4"/>
    <w:rsid w:val="00234819"/>
    <w:rsid w:val="00235ACC"/>
    <w:rsid w:val="00237503"/>
    <w:rsid w:val="0024241E"/>
    <w:rsid w:val="00242997"/>
    <w:rsid w:val="002432E4"/>
    <w:rsid w:val="0024550C"/>
    <w:rsid w:val="00245B8D"/>
    <w:rsid w:val="00251E2D"/>
    <w:rsid w:val="00254525"/>
    <w:rsid w:val="00255542"/>
    <w:rsid w:val="0025583B"/>
    <w:rsid w:val="002567D5"/>
    <w:rsid w:val="0025681B"/>
    <w:rsid w:val="00262B37"/>
    <w:rsid w:val="002658F0"/>
    <w:rsid w:val="00271E39"/>
    <w:rsid w:val="00274C59"/>
    <w:rsid w:val="0027559B"/>
    <w:rsid w:val="002773F1"/>
    <w:rsid w:val="00277D72"/>
    <w:rsid w:val="00283299"/>
    <w:rsid w:val="00285BFF"/>
    <w:rsid w:val="0028630B"/>
    <w:rsid w:val="0029008D"/>
    <w:rsid w:val="002921D5"/>
    <w:rsid w:val="0029283E"/>
    <w:rsid w:val="00292B35"/>
    <w:rsid w:val="002A0510"/>
    <w:rsid w:val="002A24E5"/>
    <w:rsid w:val="002A31E7"/>
    <w:rsid w:val="002A4055"/>
    <w:rsid w:val="002B0BF6"/>
    <w:rsid w:val="002B3008"/>
    <w:rsid w:val="002B435E"/>
    <w:rsid w:val="002B7902"/>
    <w:rsid w:val="002C14B4"/>
    <w:rsid w:val="002C1F25"/>
    <w:rsid w:val="002C6A4A"/>
    <w:rsid w:val="002C739F"/>
    <w:rsid w:val="002E0526"/>
    <w:rsid w:val="002E2A34"/>
    <w:rsid w:val="002E59B6"/>
    <w:rsid w:val="002E6D97"/>
    <w:rsid w:val="002F5F1E"/>
    <w:rsid w:val="002F7D9F"/>
    <w:rsid w:val="0030352A"/>
    <w:rsid w:val="00305C15"/>
    <w:rsid w:val="003079F2"/>
    <w:rsid w:val="00311812"/>
    <w:rsid w:val="003118E8"/>
    <w:rsid w:val="003139D5"/>
    <w:rsid w:val="00315012"/>
    <w:rsid w:val="00317CFD"/>
    <w:rsid w:val="00322386"/>
    <w:rsid w:val="0032793C"/>
    <w:rsid w:val="00331071"/>
    <w:rsid w:val="00333336"/>
    <w:rsid w:val="0033671B"/>
    <w:rsid w:val="00337451"/>
    <w:rsid w:val="0034241B"/>
    <w:rsid w:val="00351A75"/>
    <w:rsid w:val="0035221F"/>
    <w:rsid w:val="00353645"/>
    <w:rsid w:val="003539AA"/>
    <w:rsid w:val="00353E88"/>
    <w:rsid w:val="003561D6"/>
    <w:rsid w:val="00364406"/>
    <w:rsid w:val="00364B29"/>
    <w:rsid w:val="00366AE1"/>
    <w:rsid w:val="00366F8F"/>
    <w:rsid w:val="00370EE6"/>
    <w:rsid w:val="0037295D"/>
    <w:rsid w:val="003758DA"/>
    <w:rsid w:val="00375DA8"/>
    <w:rsid w:val="00386B22"/>
    <w:rsid w:val="00386CF4"/>
    <w:rsid w:val="00390A39"/>
    <w:rsid w:val="0039181B"/>
    <w:rsid w:val="0039516F"/>
    <w:rsid w:val="003A1333"/>
    <w:rsid w:val="003A1CFA"/>
    <w:rsid w:val="003A4590"/>
    <w:rsid w:val="003A50E2"/>
    <w:rsid w:val="003A5FC7"/>
    <w:rsid w:val="003B4D02"/>
    <w:rsid w:val="003B56F1"/>
    <w:rsid w:val="003B5E22"/>
    <w:rsid w:val="003C3906"/>
    <w:rsid w:val="003C6BB4"/>
    <w:rsid w:val="003D1F9C"/>
    <w:rsid w:val="003D353B"/>
    <w:rsid w:val="003D3830"/>
    <w:rsid w:val="003E055E"/>
    <w:rsid w:val="003E0954"/>
    <w:rsid w:val="003E4D50"/>
    <w:rsid w:val="003E5CEA"/>
    <w:rsid w:val="003E7D74"/>
    <w:rsid w:val="00404C07"/>
    <w:rsid w:val="00413B35"/>
    <w:rsid w:val="004153D9"/>
    <w:rsid w:val="00416287"/>
    <w:rsid w:val="004237EC"/>
    <w:rsid w:val="00426CEC"/>
    <w:rsid w:val="00427CFC"/>
    <w:rsid w:val="00430172"/>
    <w:rsid w:val="00430234"/>
    <w:rsid w:val="004321BA"/>
    <w:rsid w:val="00434BC7"/>
    <w:rsid w:val="00435593"/>
    <w:rsid w:val="0043605F"/>
    <w:rsid w:val="00440D7D"/>
    <w:rsid w:val="00441235"/>
    <w:rsid w:val="00442B2A"/>
    <w:rsid w:val="00444737"/>
    <w:rsid w:val="004471B4"/>
    <w:rsid w:val="00454DF2"/>
    <w:rsid w:val="00462F6D"/>
    <w:rsid w:val="00464CFE"/>
    <w:rsid w:val="00466A27"/>
    <w:rsid w:val="00467B61"/>
    <w:rsid w:val="0047184C"/>
    <w:rsid w:val="00473B34"/>
    <w:rsid w:val="00473EE5"/>
    <w:rsid w:val="00476508"/>
    <w:rsid w:val="00480EA0"/>
    <w:rsid w:val="0048200C"/>
    <w:rsid w:val="00491CED"/>
    <w:rsid w:val="00492A5D"/>
    <w:rsid w:val="004930E8"/>
    <w:rsid w:val="00493211"/>
    <w:rsid w:val="00496123"/>
    <w:rsid w:val="004A38F7"/>
    <w:rsid w:val="004A6301"/>
    <w:rsid w:val="004A70CA"/>
    <w:rsid w:val="004B0336"/>
    <w:rsid w:val="004B1139"/>
    <w:rsid w:val="004B48D5"/>
    <w:rsid w:val="004C26E5"/>
    <w:rsid w:val="004C559C"/>
    <w:rsid w:val="004D0654"/>
    <w:rsid w:val="004D2837"/>
    <w:rsid w:val="004D326C"/>
    <w:rsid w:val="004D34E5"/>
    <w:rsid w:val="004D4B50"/>
    <w:rsid w:val="004E0142"/>
    <w:rsid w:val="004E0B4E"/>
    <w:rsid w:val="004E281B"/>
    <w:rsid w:val="004E2E5D"/>
    <w:rsid w:val="004E4884"/>
    <w:rsid w:val="004F17CC"/>
    <w:rsid w:val="004F4D8D"/>
    <w:rsid w:val="004F4E63"/>
    <w:rsid w:val="004F5E60"/>
    <w:rsid w:val="004F5FFE"/>
    <w:rsid w:val="0050121B"/>
    <w:rsid w:val="00502C21"/>
    <w:rsid w:val="005030C1"/>
    <w:rsid w:val="0050339B"/>
    <w:rsid w:val="0050375A"/>
    <w:rsid w:val="00505827"/>
    <w:rsid w:val="00505CA1"/>
    <w:rsid w:val="00506DB1"/>
    <w:rsid w:val="0050736D"/>
    <w:rsid w:val="005107E8"/>
    <w:rsid w:val="005110DC"/>
    <w:rsid w:val="00512F17"/>
    <w:rsid w:val="00520510"/>
    <w:rsid w:val="00521A3A"/>
    <w:rsid w:val="0052357E"/>
    <w:rsid w:val="005261DF"/>
    <w:rsid w:val="00531CB2"/>
    <w:rsid w:val="00531D66"/>
    <w:rsid w:val="00532808"/>
    <w:rsid w:val="00533D6A"/>
    <w:rsid w:val="00536D62"/>
    <w:rsid w:val="00537174"/>
    <w:rsid w:val="00540199"/>
    <w:rsid w:val="00542A6F"/>
    <w:rsid w:val="005446B1"/>
    <w:rsid w:val="00545684"/>
    <w:rsid w:val="00545D07"/>
    <w:rsid w:val="005526A3"/>
    <w:rsid w:val="00554713"/>
    <w:rsid w:val="00555763"/>
    <w:rsid w:val="00560C19"/>
    <w:rsid w:val="00562B05"/>
    <w:rsid w:val="00564C9A"/>
    <w:rsid w:val="00565395"/>
    <w:rsid w:val="005713AD"/>
    <w:rsid w:val="005722FD"/>
    <w:rsid w:val="00573921"/>
    <w:rsid w:val="0057713D"/>
    <w:rsid w:val="00580241"/>
    <w:rsid w:val="0058089F"/>
    <w:rsid w:val="00580A30"/>
    <w:rsid w:val="00581033"/>
    <w:rsid w:val="00581B03"/>
    <w:rsid w:val="005847BC"/>
    <w:rsid w:val="00585A1E"/>
    <w:rsid w:val="005930FE"/>
    <w:rsid w:val="00593560"/>
    <w:rsid w:val="005976F6"/>
    <w:rsid w:val="005A6A9E"/>
    <w:rsid w:val="005A7E20"/>
    <w:rsid w:val="005B17DE"/>
    <w:rsid w:val="005B2DD1"/>
    <w:rsid w:val="005B32DA"/>
    <w:rsid w:val="005B49AC"/>
    <w:rsid w:val="005B7852"/>
    <w:rsid w:val="005C4286"/>
    <w:rsid w:val="005C6B32"/>
    <w:rsid w:val="005C6EE9"/>
    <w:rsid w:val="005D0FE3"/>
    <w:rsid w:val="005D3777"/>
    <w:rsid w:val="005D3AFC"/>
    <w:rsid w:val="005E0D89"/>
    <w:rsid w:val="005E659E"/>
    <w:rsid w:val="005F1402"/>
    <w:rsid w:val="005F167B"/>
    <w:rsid w:val="005F4BCE"/>
    <w:rsid w:val="005F6FE7"/>
    <w:rsid w:val="00601948"/>
    <w:rsid w:val="0060297D"/>
    <w:rsid w:val="006073F8"/>
    <w:rsid w:val="0060781A"/>
    <w:rsid w:val="0061148D"/>
    <w:rsid w:val="00612CF6"/>
    <w:rsid w:val="00626BB0"/>
    <w:rsid w:val="006308B3"/>
    <w:rsid w:val="00632944"/>
    <w:rsid w:val="00633018"/>
    <w:rsid w:val="00641EA5"/>
    <w:rsid w:val="006454A4"/>
    <w:rsid w:val="006469CE"/>
    <w:rsid w:val="00654516"/>
    <w:rsid w:val="00655BE0"/>
    <w:rsid w:val="0066049E"/>
    <w:rsid w:val="00661034"/>
    <w:rsid w:val="00661CEA"/>
    <w:rsid w:val="00661D03"/>
    <w:rsid w:val="00666EB0"/>
    <w:rsid w:val="00670CC3"/>
    <w:rsid w:val="00671E30"/>
    <w:rsid w:val="006739C1"/>
    <w:rsid w:val="00683461"/>
    <w:rsid w:val="00683480"/>
    <w:rsid w:val="00684E27"/>
    <w:rsid w:val="00685545"/>
    <w:rsid w:val="00685791"/>
    <w:rsid w:val="00691669"/>
    <w:rsid w:val="00691C05"/>
    <w:rsid w:val="00694F8E"/>
    <w:rsid w:val="006A02C2"/>
    <w:rsid w:val="006A1F13"/>
    <w:rsid w:val="006A2329"/>
    <w:rsid w:val="006A343D"/>
    <w:rsid w:val="006A4AA6"/>
    <w:rsid w:val="006A58AA"/>
    <w:rsid w:val="006A65B6"/>
    <w:rsid w:val="006A7115"/>
    <w:rsid w:val="006B09E9"/>
    <w:rsid w:val="006B262D"/>
    <w:rsid w:val="006B34E2"/>
    <w:rsid w:val="006B42F4"/>
    <w:rsid w:val="006C1F6F"/>
    <w:rsid w:val="006C51BA"/>
    <w:rsid w:val="006C6A00"/>
    <w:rsid w:val="006C6BD1"/>
    <w:rsid w:val="006C7623"/>
    <w:rsid w:val="006D2199"/>
    <w:rsid w:val="006D32B5"/>
    <w:rsid w:val="006D7BE4"/>
    <w:rsid w:val="006D7DE1"/>
    <w:rsid w:val="006E0FC9"/>
    <w:rsid w:val="006E2474"/>
    <w:rsid w:val="006E4347"/>
    <w:rsid w:val="006F0C93"/>
    <w:rsid w:val="006F30A1"/>
    <w:rsid w:val="00702580"/>
    <w:rsid w:val="007039F0"/>
    <w:rsid w:val="00705EC5"/>
    <w:rsid w:val="00717934"/>
    <w:rsid w:val="00721A85"/>
    <w:rsid w:val="00722AF5"/>
    <w:rsid w:val="007320F9"/>
    <w:rsid w:val="00734609"/>
    <w:rsid w:val="00734DF4"/>
    <w:rsid w:val="00740335"/>
    <w:rsid w:val="00742F1B"/>
    <w:rsid w:val="00746D9C"/>
    <w:rsid w:val="0074745F"/>
    <w:rsid w:val="00751263"/>
    <w:rsid w:val="00751978"/>
    <w:rsid w:val="0075500C"/>
    <w:rsid w:val="007560D6"/>
    <w:rsid w:val="00757383"/>
    <w:rsid w:val="007600F7"/>
    <w:rsid w:val="00760368"/>
    <w:rsid w:val="0076129D"/>
    <w:rsid w:val="00761B17"/>
    <w:rsid w:val="007626A1"/>
    <w:rsid w:val="0076449F"/>
    <w:rsid w:val="007647C5"/>
    <w:rsid w:val="007661D9"/>
    <w:rsid w:val="00766AF6"/>
    <w:rsid w:val="007718EF"/>
    <w:rsid w:val="007730AB"/>
    <w:rsid w:val="00773426"/>
    <w:rsid w:val="0077372E"/>
    <w:rsid w:val="00780780"/>
    <w:rsid w:val="00781450"/>
    <w:rsid w:val="00785052"/>
    <w:rsid w:val="00786706"/>
    <w:rsid w:val="0078730C"/>
    <w:rsid w:val="007915EF"/>
    <w:rsid w:val="0079259A"/>
    <w:rsid w:val="007946DD"/>
    <w:rsid w:val="007949C6"/>
    <w:rsid w:val="00794C33"/>
    <w:rsid w:val="007A32DF"/>
    <w:rsid w:val="007A5AFA"/>
    <w:rsid w:val="007A61E7"/>
    <w:rsid w:val="007B1277"/>
    <w:rsid w:val="007B2E7D"/>
    <w:rsid w:val="007B71A8"/>
    <w:rsid w:val="007C1B67"/>
    <w:rsid w:val="007C5C87"/>
    <w:rsid w:val="007D209F"/>
    <w:rsid w:val="007D4C0F"/>
    <w:rsid w:val="007D6414"/>
    <w:rsid w:val="007D7961"/>
    <w:rsid w:val="007E0247"/>
    <w:rsid w:val="007F1833"/>
    <w:rsid w:val="0080216A"/>
    <w:rsid w:val="0081498B"/>
    <w:rsid w:val="00814A22"/>
    <w:rsid w:val="008176CB"/>
    <w:rsid w:val="00820025"/>
    <w:rsid w:val="0082201A"/>
    <w:rsid w:val="0082218F"/>
    <w:rsid w:val="008313FB"/>
    <w:rsid w:val="00831EF5"/>
    <w:rsid w:val="0084229A"/>
    <w:rsid w:val="0084497B"/>
    <w:rsid w:val="00846841"/>
    <w:rsid w:val="008520D8"/>
    <w:rsid w:val="008520F8"/>
    <w:rsid w:val="008528F6"/>
    <w:rsid w:val="00856098"/>
    <w:rsid w:val="008568C6"/>
    <w:rsid w:val="0086006B"/>
    <w:rsid w:val="008615B5"/>
    <w:rsid w:val="00861F61"/>
    <w:rsid w:val="00866794"/>
    <w:rsid w:val="00870555"/>
    <w:rsid w:val="00870B9E"/>
    <w:rsid w:val="00871299"/>
    <w:rsid w:val="00874BD0"/>
    <w:rsid w:val="00874C59"/>
    <w:rsid w:val="00877770"/>
    <w:rsid w:val="0088076E"/>
    <w:rsid w:val="00880E6A"/>
    <w:rsid w:val="00881395"/>
    <w:rsid w:val="00881939"/>
    <w:rsid w:val="00882034"/>
    <w:rsid w:val="008825BB"/>
    <w:rsid w:val="008835A6"/>
    <w:rsid w:val="008902F2"/>
    <w:rsid w:val="00890A4C"/>
    <w:rsid w:val="00892550"/>
    <w:rsid w:val="00892C32"/>
    <w:rsid w:val="008945B6"/>
    <w:rsid w:val="00897110"/>
    <w:rsid w:val="008A2932"/>
    <w:rsid w:val="008A4262"/>
    <w:rsid w:val="008A55A2"/>
    <w:rsid w:val="008A5664"/>
    <w:rsid w:val="008A7824"/>
    <w:rsid w:val="008B48C9"/>
    <w:rsid w:val="008B54B4"/>
    <w:rsid w:val="008B68EF"/>
    <w:rsid w:val="008C1EF4"/>
    <w:rsid w:val="008C2655"/>
    <w:rsid w:val="008C47D2"/>
    <w:rsid w:val="008C68F6"/>
    <w:rsid w:val="008C6B2B"/>
    <w:rsid w:val="008C7EDF"/>
    <w:rsid w:val="008D06DE"/>
    <w:rsid w:val="008D29EA"/>
    <w:rsid w:val="008D5ED3"/>
    <w:rsid w:val="008D726B"/>
    <w:rsid w:val="008E2D08"/>
    <w:rsid w:val="008F3C9B"/>
    <w:rsid w:val="008F3DA2"/>
    <w:rsid w:val="008F403A"/>
    <w:rsid w:val="008F68CB"/>
    <w:rsid w:val="008F6EDE"/>
    <w:rsid w:val="008F726E"/>
    <w:rsid w:val="00900A9E"/>
    <w:rsid w:val="0090210B"/>
    <w:rsid w:val="009024D6"/>
    <w:rsid w:val="0090324C"/>
    <w:rsid w:val="009032DA"/>
    <w:rsid w:val="009064AC"/>
    <w:rsid w:val="009119BA"/>
    <w:rsid w:val="00911A30"/>
    <w:rsid w:val="009130C5"/>
    <w:rsid w:val="00915007"/>
    <w:rsid w:val="009169C1"/>
    <w:rsid w:val="00916F69"/>
    <w:rsid w:val="009245E0"/>
    <w:rsid w:val="00925F1A"/>
    <w:rsid w:val="0092656A"/>
    <w:rsid w:val="00934919"/>
    <w:rsid w:val="00934BA0"/>
    <w:rsid w:val="00937178"/>
    <w:rsid w:val="00953995"/>
    <w:rsid w:val="009571BF"/>
    <w:rsid w:val="00957A9D"/>
    <w:rsid w:val="00960B95"/>
    <w:rsid w:val="00966890"/>
    <w:rsid w:val="00970C10"/>
    <w:rsid w:val="00974B5A"/>
    <w:rsid w:val="0097654C"/>
    <w:rsid w:val="00980971"/>
    <w:rsid w:val="009819A7"/>
    <w:rsid w:val="009828D4"/>
    <w:rsid w:val="009846AF"/>
    <w:rsid w:val="009865FD"/>
    <w:rsid w:val="009869D2"/>
    <w:rsid w:val="009917C2"/>
    <w:rsid w:val="009922B8"/>
    <w:rsid w:val="00994B81"/>
    <w:rsid w:val="00997207"/>
    <w:rsid w:val="009A2E33"/>
    <w:rsid w:val="009A3DFE"/>
    <w:rsid w:val="009A7BB9"/>
    <w:rsid w:val="009B1257"/>
    <w:rsid w:val="009B410C"/>
    <w:rsid w:val="009C49D7"/>
    <w:rsid w:val="009C7BED"/>
    <w:rsid w:val="009C7F74"/>
    <w:rsid w:val="009D0C70"/>
    <w:rsid w:val="009D27FE"/>
    <w:rsid w:val="009D55EB"/>
    <w:rsid w:val="009E1FEB"/>
    <w:rsid w:val="009E2BD0"/>
    <w:rsid w:val="009E601F"/>
    <w:rsid w:val="009E69B2"/>
    <w:rsid w:val="009F0810"/>
    <w:rsid w:val="009F1B42"/>
    <w:rsid w:val="009F3400"/>
    <w:rsid w:val="009F7879"/>
    <w:rsid w:val="00A01052"/>
    <w:rsid w:val="00A02E56"/>
    <w:rsid w:val="00A06DEF"/>
    <w:rsid w:val="00A17C6A"/>
    <w:rsid w:val="00A24338"/>
    <w:rsid w:val="00A25F4F"/>
    <w:rsid w:val="00A27FB9"/>
    <w:rsid w:val="00A31642"/>
    <w:rsid w:val="00A33258"/>
    <w:rsid w:val="00A354F6"/>
    <w:rsid w:val="00A3572E"/>
    <w:rsid w:val="00A4493E"/>
    <w:rsid w:val="00A47696"/>
    <w:rsid w:val="00A538C7"/>
    <w:rsid w:val="00A553A0"/>
    <w:rsid w:val="00A566DA"/>
    <w:rsid w:val="00A63C50"/>
    <w:rsid w:val="00A65110"/>
    <w:rsid w:val="00A664D1"/>
    <w:rsid w:val="00A674C1"/>
    <w:rsid w:val="00A709E5"/>
    <w:rsid w:val="00A73167"/>
    <w:rsid w:val="00A7471F"/>
    <w:rsid w:val="00A76F1A"/>
    <w:rsid w:val="00A82900"/>
    <w:rsid w:val="00A84202"/>
    <w:rsid w:val="00A84318"/>
    <w:rsid w:val="00A853EE"/>
    <w:rsid w:val="00A9052D"/>
    <w:rsid w:val="00A91968"/>
    <w:rsid w:val="00A94A97"/>
    <w:rsid w:val="00A96F7A"/>
    <w:rsid w:val="00AA1F0E"/>
    <w:rsid w:val="00AA5734"/>
    <w:rsid w:val="00AA7929"/>
    <w:rsid w:val="00AB237F"/>
    <w:rsid w:val="00AB24C0"/>
    <w:rsid w:val="00AB2CF2"/>
    <w:rsid w:val="00AB430D"/>
    <w:rsid w:val="00AB4EFD"/>
    <w:rsid w:val="00AB5565"/>
    <w:rsid w:val="00AC0648"/>
    <w:rsid w:val="00AC1538"/>
    <w:rsid w:val="00AC1F85"/>
    <w:rsid w:val="00AC222E"/>
    <w:rsid w:val="00AC310F"/>
    <w:rsid w:val="00AD58AF"/>
    <w:rsid w:val="00AE0C35"/>
    <w:rsid w:val="00AE1411"/>
    <w:rsid w:val="00AE203C"/>
    <w:rsid w:val="00AE338D"/>
    <w:rsid w:val="00AE4B90"/>
    <w:rsid w:val="00AE7FD7"/>
    <w:rsid w:val="00AF1821"/>
    <w:rsid w:val="00AF26E8"/>
    <w:rsid w:val="00AF3C14"/>
    <w:rsid w:val="00AF7C14"/>
    <w:rsid w:val="00B005D9"/>
    <w:rsid w:val="00B00BBB"/>
    <w:rsid w:val="00B0358B"/>
    <w:rsid w:val="00B05096"/>
    <w:rsid w:val="00B0547F"/>
    <w:rsid w:val="00B06611"/>
    <w:rsid w:val="00B0775E"/>
    <w:rsid w:val="00B078E9"/>
    <w:rsid w:val="00B12817"/>
    <w:rsid w:val="00B12BCF"/>
    <w:rsid w:val="00B15703"/>
    <w:rsid w:val="00B162AB"/>
    <w:rsid w:val="00B16920"/>
    <w:rsid w:val="00B16E86"/>
    <w:rsid w:val="00B25DD2"/>
    <w:rsid w:val="00B265E8"/>
    <w:rsid w:val="00B273F2"/>
    <w:rsid w:val="00B27AD5"/>
    <w:rsid w:val="00B32E34"/>
    <w:rsid w:val="00B33966"/>
    <w:rsid w:val="00B35604"/>
    <w:rsid w:val="00B420DE"/>
    <w:rsid w:val="00B424F3"/>
    <w:rsid w:val="00B44E0E"/>
    <w:rsid w:val="00B45DC3"/>
    <w:rsid w:val="00B46101"/>
    <w:rsid w:val="00B4704C"/>
    <w:rsid w:val="00B47E4E"/>
    <w:rsid w:val="00B51F26"/>
    <w:rsid w:val="00B532F7"/>
    <w:rsid w:val="00B54625"/>
    <w:rsid w:val="00B55270"/>
    <w:rsid w:val="00B608D6"/>
    <w:rsid w:val="00B61B79"/>
    <w:rsid w:val="00B61C1E"/>
    <w:rsid w:val="00B627FD"/>
    <w:rsid w:val="00B64294"/>
    <w:rsid w:val="00B70CD2"/>
    <w:rsid w:val="00B727C9"/>
    <w:rsid w:val="00B74230"/>
    <w:rsid w:val="00B811BA"/>
    <w:rsid w:val="00B8167E"/>
    <w:rsid w:val="00B83DA6"/>
    <w:rsid w:val="00B851CD"/>
    <w:rsid w:val="00B9297B"/>
    <w:rsid w:val="00BA0922"/>
    <w:rsid w:val="00BA6915"/>
    <w:rsid w:val="00BB329D"/>
    <w:rsid w:val="00BB501A"/>
    <w:rsid w:val="00BB6989"/>
    <w:rsid w:val="00BC0F70"/>
    <w:rsid w:val="00BD186D"/>
    <w:rsid w:val="00BD1DE0"/>
    <w:rsid w:val="00BD5963"/>
    <w:rsid w:val="00BD6BDA"/>
    <w:rsid w:val="00BE18CD"/>
    <w:rsid w:val="00BE1AB4"/>
    <w:rsid w:val="00BF16BC"/>
    <w:rsid w:val="00BF774B"/>
    <w:rsid w:val="00C004BD"/>
    <w:rsid w:val="00C01284"/>
    <w:rsid w:val="00C03349"/>
    <w:rsid w:val="00C044A9"/>
    <w:rsid w:val="00C073CF"/>
    <w:rsid w:val="00C1163C"/>
    <w:rsid w:val="00C12D41"/>
    <w:rsid w:val="00C1637B"/>
    <w:rsid w:val="00C16FFA"/>
    <w:rsid w:val="00C30B6D"/>
    <w:rsid w:val="00C36450"/>
    <w:rsid w:val="00C37059"/>
    <w:rsid w:val="00C41228"/>
    <w:rsid w:val="00C43B6F"/>
    <w:rsid w:val="00C44D35"/>
    <w:rsid w:val="00C46BB2"/>
    <w:rsid w:val="00C5083F"/>
    <w:rsid w:val="00C5100D"/>
    <w:rsid w:val="00C515BE"/>
    <w:rsid w:val="00C53AB4"/>
    <w:rsid w:val="00C53D5F"/>
    <w:rsid w:val="00C6050C"/>
    <w:rsid w:val="00C608DF"/>
    <w:rsid w:val="00C61112"/>
    <w:rsid w:val="00C62E63"/>
    <w:rsid w:val="00C65911"/>
    <w:rsid w:val="00C70705"/>
    <w:rsid w:val="00C71775"/>
    <w:rsid w:val="00C72133"/>
    <w:rsid w:val="00C828C4"/>
    <w:rsid w:val="00C839F5"/>
    <w:rsid w:val="00C878B7"/>
    <w:rsid w:val="00C93DA9"/>
    <w:rsid w:val="00C94064"/>
    <w:rsid w:val="00C97688"/>
    <w:rsid w:val="00C97F81"/>
    <w:rsid w:val="00CA3211"/>
    <w:rsid w:val="00CB234B"/>
    <w:rsid w:val="00CC17A4"/>
    <w:rsid w:val="00CC27EB"/>
    <w:rsid w:val="00CC2BAA"/>
    <w:rsid w:val="00CC555D"/>
    <w:rsid w:val="00CC6E02"/>
    <w:rsid w:val="00CC79AC"/>
    <w:rsid w:val="00CD06E5"/>
    <w:rsid w:val="00CD1A7E"/>
    <w:rsid w:val="00CD24B3"/>
    <w:rsid w:val="00CD70B6"/>
    <w:rsid w:val="00CD77B6"/>
    <w:rsid w:val="00CE22FC"/>
    <w:rsid w:val="00CE5A9C"/>
    <w:rsid w:val="00CE7D1B"/>
    <w:rsid w:val="00CF2EA0"/>
    <w:rsid w:val="00CF5ECF"/>
    <w:rsid w:val="00CF7536"/>
    <w:rsid w:val="00D04450"/>
    <w:rsid w:val="00D049B3"/>
    <w:rsid w:val="00D05D12"/>
    <w:rsid w:val="00D12FF6"/>
    <w:rsid w:val="00D1380B"/>
    <w:rsid w:val="00D21F26"/>
    <w:rsid w:val="00D23250"/>
    <w:rsid w:val="00D233FF"/>
    <w:rsid w:val="00D23966"/>
    <w:rsid w:val="00D2634E"/>
    <w:rsid w:val="00D26608"/>
    <w:rsid w:val="00D26DE2"/>
    <w:rsid w:val="00D27193"/>
    <w:rsid w:val="00D32299"/>
    <w:rsid w:val="00D32FC2"/>
    <w:rsid w:val="00D35D53"/>
    <w:rsid w:val="00D44B04"/>
    <w:rsid w:val="00D47078"/>
    <w:rsid w:val="00D47DEC"/>
    <w:rsid w:val="00D51905"/>
    <w:rsid w:val="00D53C50"/>
    <w:rsid w:val="00D6192B"/>
    <w:rsid w:val="00D654A2"/>
    <w:rsid w:val="00D6767D"/>
    <w:rsid w:val="00D67686"/>
    <w:rsid w:val="00D7233B"/>
    <w:rsid w:val="00D75C44"/>
    <w:rsid w:val="00D82DAE"/>
    <w:rsid w:val="00D837BF"/>
    <w:rsid w:val="00D845DD"/>
    <w:rsid w:val="00D86099"/>
    <w:rsid w:val="00D87452"/>
    <w:rsid w:val="00D907F1"/>
    <w:rsid w:val="00D92344"/>
    <w:rsid w:val="00DA0271"/>
    <w:rsid w:val="00DA1823"/>
    <w:rsid w:val="00DA301D"/>
    <w:rsid w:val="00DA37CF"/>
    <w:rsid w:val="00DA6E7E"/>
    <w:rsid w:val="00DB681B"/>
    <w:rsid w:val="00DB7780"/>
    <w:rsid w:val="00DC04E8"/>
    <w:rsid w:val="00DC40A5"/>
    <w:rsid w:val="00DC40F5"/>
    <w:rsid w:val="00DC658E"/>
    <w:rsid w:val="00DC6963"/>
    <w:rsid w:val="00DC7FE9"/>
    <w:rsid w:val="00DD2F97"/>
    <w:rsid w:val="00DD3428"/>
    <w:rsid w:val="00DD5460"/>
    <w:rsid w:val="00DD58AD"/>
    <w:rsid w:val="00DE22B7"/>
    <w:rsid w:val="00DE2366"/>
    <w:rsid w:val="00DE2BC5"/>
    <w:rsid w:val="00DF29FB"/>
    <w:rsid w:val="00DF2ADC"/>
    <w:rsid w:val="00DF4586"/>
    <w:rsid w:val="00DF4E50"/>
    <w:rsid w:val="00DF62C2"/>
    <w:rsid w:val="00E00307"/>
    <w:rsid w:val="00E01BBC"/>
    <w:rsid w:val="00E07217"/>
    <w:rsid w:val="00E118F1"/>
    <w:rsid w:val="00E11C7F"/>
    <w:rsid w:val="00E11E1A"/>
    <w:rsid w:val="00E12E69"/>
    <w:rsid w:val="00E15116"/>
    <w:rsid w:val="00E1759F"/>
    <w:rsid w:val="00E201DE"/>
    <w:rsid w:val="00E232DD"/>
    <w:rsid w:val="00E27624"/>
    <w:rsid w:val="00E300B4"/>
    <w:rsid w:val="00E315CA"/>
    <w:rsid w:val="00E315F1"/>
    <w:rsid w:val="00E350DE"/>
    <w:rsid w:val="00E3581C"/>
    <w:rsid w:val="00E4175D"/>
    <w:rsid w:val="00E42601"/>
    <w:rsid w:val="00E52220"/>
    <w:rsid w:val="00E61F71"/>
    <w:rsid w:val="00E65A89"/>
    <w:rsid w:val="00E727FF"/>
    <w:rsid w:val="00E76945"/>
    <w:rsid w:val="00E83A25"/>
    <w:rsid w:val="00E91804"/>
    <w:rsid w:val="00E9317F"/>
    <w:rsid w:val="00E944E9"/>
    <w:rsid w:val="00E96DF0"/>
    <w:rsid w:val="00EA2669"/>
    <w:rsid w:val="00EA5292"/>
    <w:rsid w:val="00EA6928"/>
    <w:rsid w:val="00EB0374"/>
    <w:rsid w:val="00EB0C20"/>
    <w:rsid w:val="00EB12CE"/>
    <w:rsid w:val="00EB1C17"/>
    <w:rsid w:val="00EB29AF"/>
    <w:rsid w:val="00EB2F9D"/>
    <w:rsid w:val="00EB4590"/>
    <w:rsid w:val="00EB4B7B"/>
    <w:rsid w:val="00EB59A0"/>
    <w:rsid w:val="00EB67C1"/>
    <w:rsid w:val="00EC01F6"/>
    <w:rsid w:val="00EC2D57"/>
    <w:rsid w:val="00EC49C2"/>
    <w:rsid w:val="00EC64CE"/>
    <w:rsid w:val="00EC6EC8"/>
    <w:rsid w:val="00EC7B00"/>
    <w:rsid w:val="00ED112F"/>
    <w:rsid w:val="00ED4BE7"/>
    <w:rsid w:val="00ED68EF"/>
    <w:rsid w:val="00EE0195"/>
    <w:rsid w:val="00EE1EB7"/>
    <w:rsid w:val="00EE4170"/>
    <w:rsid w:val="00EE7517"/>
    <w:rsid w:val="00EF62C3"/>
    <w:rsid w:val="00F00094"/>
    <w:rsid w:val="00F01578"/>
    <w:rsid w:val="00F03654"/>
    <w:rsid w:val="00F05E30"/>
    <w:rsid w:val="00F06C78"/>
    <w:rsid w:val="00F11101"/>
    <w:rsid w:val="00F16B64"/>
    <w:rsid w:val="00F24FD9"/>
    <w:rsid w:val="00F2581B"/>
    <w:rsid w:val="00F261FD"/>
    <w:rsid w:val="00F304CE"/>
    <w:rsid w:val="00F33DB4"/>
    <w:rsid w:val="00F34D5B"/>
    <w:rsid w:val="00F35AB6"/>
    <w:rsid w:val="00F36BA3"/>
    <w:rsid w:val="00F4089A"/>
    <w:rsid w:val="00F44FAC"/>
    <w:rsid w:val="00F511A0"/>
    <w:rsid w:val="00F5407F"/>
    <w:rsid w:val="00F55AFE"/>
    <w:rsid w:val="00F57AD1"/>
    <w:rsid w:val="00F63213"/>
    <w:rsid w:val="00F74EC5"/>
    <w:rsid w:val="00F76136"/>
    <w:rsid w:val="00F80F6C"/>
    <w:rsid w:val="00F84A5D"/>
    <w:rsid w:val="00F85E21"/>
    <w:rsid w:val="00F86D3E"/>
    <w:rsid w:val="00F93F45"/>
    <w:rsid w:val="00F94CCF"/>
    <w:rsid w:val="00F964ED"/>
    <w:rsid w:val="00FA2A6C"/>
    <w:rsid w:val="00FA2E3A"/>
    <w:rsid w:val="00FA32C8"/>
    <w:rsid w:val="00FA5BBD"/>
    <w:rsid w:val="00FA62F7"/>
    <w:rsid w:val="00FB4356"/>
    <w:rsid w:val="00FB4CF2"/>
    <w:rsid w:val="00FC0879"/>
    <w:rsid w:val="00FC2382"/>
    <w:rsid w:val="00FC247E"/>
    <w:rsid w:val="00FC2F44"/>
    <w:rsid w:val="00FC4A2F"/>
    <w:rsid w:val="00FC625F"/>
    <w:rsid w:val="00FC6CF5"/>
    <w:rsid w:val="00FC7756"/>
    <w:rsid w:val="00FD0F02"/>
    <w:rsid w:val="00FD2729"/>
    <w:rsid w:val="00FD3E7E"/>
    <w:rsid w:val="00FD4D31"/>
    <w:rsid w:val="00FD6893"/>
    <w:rsid w:val="00FE66B0"/>
    <w:rsid w:val="00FF482D"/>
    <w:rsid w:val="00FF7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260B"/>
  <w15:chartTrackingRefBased/>
  <w15:docId w15:val="{1DBC404A-9098-4A53-BD56-04EA53EC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27B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7BA8"/>
    <w:rPr>
      <w:sz w:val="20"/>
      <w:szCs w:val="20"/>
    </w:rPr>
  </w:style>
  <w:style w:type="character" w:styleId="Voetnootmarkering">
    <w:name w:val="footnote reference"/>
    <w:basedOn w:val="Standaardalinea-lettertype"/>
    <w:uiPriority w:val="99"/>
    <w:semiHidden/>
    <w:unhideWhenUsed/>
    <w:rsid w:val="00027BA8"/>
    <w:rPr>
      <w:vertAlign w:val="superscript"/>
    </w:rPr>
  </w:style>
  <w:style w:type="paragraph" w:styleId="Lijstalinea">
    <w:name w:val="List Paragraph"/>
    <w:basedOn w:val="Standaard"/>
    <w:uiPriority w:val="34"/>
    <w:qFormat/>
    <w:rsid w:val="00F06C78"/>
    <w:pPr>
      <w:ind w:left="720"/>
      <w:contextualSpacing/>
    </w:pPr>
  </w:style>
  <w:style w:type="paragraph" w:styleId="Ballontekst">
    <w:name w:val="Balloon Text"/>
    <w:basedOn w:val="Standaard"/>
    <w:link w:val="BallontekstChar"/>
    <w:uiPriority w:val="99"/>
    <w:semiHidden/>
    <w:unhideWhenUsed/>
    <w:rsid w:val="00E072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7217"/>
    <w:rPr>
      <w:rFonts w:ascii="Segoe UI" w:hAnsi="Segoe UI" w:cs="Segoe UI"/>
      <w:sz w:val="18"/>
      <w:szCs w:val="18"/>
    </w:rPr>
  </w:style>
  <w:style w:type="character" w:styleId="Verwijzingopmerking">
    <w:name w:val="annotation reference"/>
    <w:basedOn w:val="Standaardalinea-lettertype"/>
    <w:uiPriority w:val="99"/>
    <w:semiHidden/>
    <w:unhideWhenUsed/>
    <w:rsid w:val="00FA62F7"/>
    <w:rPr>
      <w:sz w:val="16"/>
      <w:szCs w:val="16"/>
    </w:rPr>
  </w:style>
  <w:style w:type="paragraph" w:styleId="Tekstopmerking">
    <w:name w:val="annotation text"/>
    <w:basedOn w:val="Standaard"/>
    <w:link w:val="TekstopmerkingChar"/>
    <w:uiPriority w:val="99"/>
    <w:semiHidden/>
    <w:unhideWhenUsed/>
    <w:rsid w:val="00FA62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62F7"/>
    <w:rPr>
      <w:sz w:val="20"/>
      <w:szCs w:val="20"/>
    </w:rPr>
  </w:style>
  <w:style w:type="paragraph" w:styleId="Onderwerpvanopmerking">
    <w:name w:val="annotation subject"/>
    <w:basedOn w:val="Tekstopmerking"/>
    <w:next w:val="Tekstopmerking"/>
    <w:link w:val="OnderwerpvanopmerkingChar"/>
    <w:uiPriority w:val="99"/>
    <w:semiHidden/>
    <w:unhideWhenUsed/>
    <w:rsid w:val="00FA62F7"/>
    <w:rPr>
      <w:b/>
      <w:bCs/>
    </w:rPr>
  </w:style>
  <w:style w:type="character" w:customStyle="1" w:styleId="OnderwerpvanopmerkingChar">
    <w:name w:val="Onderwerp van opmerking Char"/>
    <w:basedOn w:val="TekstopmerkingChar"/>
    <w:link w:val="Onderwerpvanopmerking"/>
    <w:uiPriority w:val="99"/>
    <w:semiHidden/>
    <w:rsid w:val="00FA6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1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84ED09138F248BBF92AB70F02C412" ma:contentTypeVersion="10" ma:contentTypeDescription="Create a new document." ma:contentTypeScope="" ma:versionID="43e5f7e98d3a1c6fdb791cf885d6365d">
  <xsd:schema xmlns:xsd="http://www.w3.org/2001/XMLSchema" xmlns:xs="http://www.w3.org/2001/XMLSchema" xmlns:p="http://schemas.microsoft.com/office/2006/metadata/properties" xmlns:ns3="90706265-bff7-4ce4-9827-9acbe5dbfd33" targetNamespace="http://schemas.microsoft.com/office/2006/metadata/properties" ma:root="true" ma:fieldsID="8bb10177a399a541be0223c97842a39d" ns3:_="">
    <xsd:import namespace="90706265-bff7-4ce4-9827-9acbe5dbfd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06265-bff7-4ce4-9827-9acbe5dbf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D9D30-4CD5-4583-AE3B-0FE184A93EA3}">
  <ds:schemaRefs>
    <ds:schemaRef ds:uri="http://schemas.microsoft.com/sharepoint/v3/contenttype/forms"/>
  </ds:schemaRefs>
</ds:datastoreItem>
</file>

<file path=customXml/itemProps2.xml><?xml version="1.0" encoding="utf-8"?>
<ds:datastoreItem xmlns:ds="http://schemas.openxmlformats.org/officeDocument/2006/customXml" ds:itemID="{0489782F-EBA5-4A7F-817B-91DA99915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06265-bff7-4ce4-9827-9acbe5dbf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5A12B-A399-4D62-BB6F-A0AFE44C4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7775</Words>
  <Characters>42763</Characters>
  <Application>Microsoft Office Word</Application>
  <DocSecurity>0</DocSecurity>
  <Lines>356</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Witpeerd, mr. F.M. (Hoge Raad)</dc:creator>
  <cp:keywords/>
  <dc:description/>
  <cp:lastModifiedBy>Veruschka</cp:lastModifiedBy>
  <cp:revision>2</cp:revision>
  <dcterms:created xsi:type="dcterms:W3CDTF">2020-07-21T19:15:00Z</dcterms:created>
  <dcterms:modified xsi:type="dcterms:W3CDTF">2020-07-21T19:15:00Z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0x0101008C884ED09138F248BBF92AB70F02C412</vt:lpwstr>
  </property>
</Properties>
</file>